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547ED" w14:textId="4AB6EEC2" w:rsidR="00E976D5" w:rsidRDefault="00000000">
      <w:pPr>
        <w:pStyle w:val="FirstParagraph"/>
        <w:spacing w:after="0" w:line="360" w:lineRule="auto"/>
        <w:rPr>
          <w:rFonts w:ascii="Calibri" w:hAnsi="Calibri" w:cs="Calibri"/>
          <w:sz w:val="22"/>
          <w:szCs w:val="22"/>
        </w:rPr>
      </w:pPr>
      <w:r>
        <w:rPr>
          <w:rFonts w:ascii="Calibri" w:hAnsi="Calibri" w:cs="Calibri"/>
          <w:b/>
          <w:bCs/>
          <w:sz w:val="22"/>
          <w:szCs w:val="22"/>
        </w:rPr>
        <w:t>EXCELENTÍSSIMO SENHOR MINISTRO LUIZ FUX, RELATOR DA AÇÃO CÍVEL ORIGINÁRIA N. 3.770/DF, NO SUPREMO TRIBUNAL FEDERAL</w:t>
      </w:r>
    </w:p>
    <w:p w14:paraId="7EF5366C" w14:textId="77777777" w:rsidR="00E976D5" w:rsidRDefault="00E976D5">
      <w:pPr>
        <w:pStyle w:val="Corpodetexto"/>
        <w:spacing w:after="0" w:line="360" w:lineRule="auto"/>
        <w:rPr>
          <w:rFonts w:ascii="Calibri" w:hAnsi="Calibri" w:cs="Calibri"/>
          <w:sz w:val="22"/>
          <w:szCs w:val="22"/>
        </w:rPr>
      </w:pPr>
    </w:p>
    <w:p w14:paraId="2035B995" w14:textId="77777777" w:rsidR="00E976D5" w:rsidRDefault="00E976D5">
      <w:pPr>
        <w:pStyle w:val="Corpodetexto"/>
        <w:spacing w:after="0" w:line="360" w:lineRule="auto"/>
        <w:rPr>
          <w:rFonts w:ascii="Calibri" w:hAnsi="Calibri" w:cs="Calibri"/>
          <w:sz w:val="22"/>
          <w:szCs w:val="22"/>
        </w:rPr>
      </w:pPr>
    </w:p>
    <w:p w14:paraId="2B80B511" w14:textId="47BA5B4A" w:rsidR="00E976D5" w:rsidRDefault="001300BA" w:rsidP="001300BA">
      <w:pPr>
        <w:pStyle w:val="Corpodetexto"/>
        <w:tabs>
          <w:tab w:val="left" w:pos="1701"/>
        </w:tabs>
        <w:spacing w:after="0" w:line="360" w:lineRule="auto"/>
        <w:rPr>
          <w:rFonts w:ascii="Calibri" w:hAnsi="Calibri" w:cs="Calibri"/>
          <w:sz w:val="22"/>
          <w:szCs w:val="22"/>
        </w:rPr>
      </w:pPr>
      <w:r>
        <w:rPr>
          <w:rFonts w:ascii="Calibri" w:hAnsi="Calibri" w:cs="Calibri"/>
          <w:b/>
          <w:bCs/>
          <w:sz w:val="22"/>
          <w:szCs w:val="22"/>
        </w:rPr>
        <w:tab/>
        <w:t>O DISTRITO FEDERAL</w:t>
      </w:r>
      <w:r>
        <w:rPr>
          <w:rFonts w:ascii="Calibri" w:hAnsi="Calibri" w:cs="Calibri"/>
          <w:sz w:val="22"/>
          <w:szCs w:val="22"/>
        </w:rPr>
        <w:t xml:space="preserve">, por sua Procuradoria-Geral, nos autos da ação cível originária em epígrafe, ajuizada em face da União, do Banco Central do Brasil (BACEN) e do Fundo Garantidor de Créditos (FGC), vem, respeitosamente, à presença de Vossa Excelência, apresentar </w:t>
      </w:r>
      <w:r>
        <w:rPr>
          <w:rFonts w:ascii="Calibri" w:hAnsi="Calibri" w:cs="Calibri"/>
          <w:b/>
          <w:bCs/>
          <w:sz w:val="22"/>
          <w:szCs w:val="22"/>
        </w:rPr>
        <w:t>COMUNICAÇÃO DE FATO SUPERVENIENTE</w:t>
      </w:r>
      <w:r>
        <w:rPr>
          <w:rFonts w:ascii="Calibri" w:hAnsi="Calibri" w:cs="Calibri"/>
          <w:sz w:val="22"/>
          <w:szCs w:val="22"/>
        </w:rPr>
        <w:t>, pelas razões que passa a expor.</w:t>
      </w:r>
    </w:p>
    <w:p w14:paraId="03AF1749" w14:textId="77777777" w:rsidR="00E976D5" w:rsidRDefault="00E976D5">
      <w:pPr>
        <w:pStyle w:val="Corpodetexto"/>
        <w:spacing w:after="0" w:line="360" w:lineRule="auto"/>
        <w:rPr>
          <w:rFonts w:ascii="Calibri" w:hAnsi="Calibri" w:cs="Calibri"/>
          <w:sz w:val="22"/>
          <w:szCs w:val="22"/>
        </w:rPr>
      </w:pPr>
    </w:p>
    <w:p w14:paraId="6F1CF148" w14:textId="77777777" w:rsidR="00E976D5" w:rsidRDefault="00000000">
      <w:pPr>
        <w:pStyle w:val="Ttulo1"/>
        <w:pBdr>
          <w:top w:val="single" w:sz="4" w:space="1" w:color="auto"/>
          <w:left w:val="single" w:sz="4" w:space="4" w:color="auto"/>
          <w:bottom w:val="single" w:sz="4" w:space="1" w:color="auto"/>
          <w:right w:val="single" w:sz="4" w:space="4" w:color="auto"/>
        </w:pBdr>
        <w:spacing w:before="0" w:after="0" w:line="360" w:lineRule="auto"/>
        <w:jc w:val="center"/>
        <w:rPr>
          <w:rFonts w:ascii="Calibri" w:hAnsi="Calibri" w:cs="Calibri"/>
          <w:sz w:val="22"/>
          <w:szCs w:val="22"/>
        </w:rPr>
      </w:pPr>
      <w:r>
        <w:rPr>
          <w:rFonts w:ascii="Calibri" w:hAnsi="Calibri" w:cs="Calibri"/>
          <w:color w:val="auto"/>
          <w:sz w:val="22"/>
          <w:szCs w:val="22"/>
        </w:rPr>
        <w:t>I. DO FATO SUPERVENIENTE</w:t>
      </w:r>
    </w:p>
    <w:p w14:paraId="446145FA" w14:textId="77777777" w:rsidR="00E976D5" w:rsidRDefault="00E976D5">
      <w:pPr>
        <w:pStyle w:val="Corpodetexto"/>
        <w:keepNext/>
        <w:spacing w:after="0" w:line="360" w:lineRule="auto"/>
        <w:rPr>
          <w:rFonts w:ascii="Calibri" w:hAnsi="Calibri" w:cs="Calibri"/>
          <w:sz w:val="22"/>
          <w:szCs w:val="22"/>
        </w:rPr>
      </w:pPr>
    </w:p>
    <w:p w14:paraId="62C6542C" w14:textId="77777777" w:rsidR="00E976D5" w:rsidRDefault="00000000">
      <w:pPr>
        <w:pStyle w:val="Corpodetexto"/>
        <w:numPr>
          <w:ilvl w:val="0"/>
          <w:numId w:val="15"/>
        </w:numPr>
        <w:spacing w:after="0" w:line="360" w:lineRule="auto"/>
        <w:ind w:left="0" w:firstLine="0"/>
        <w:rPr>
          <w:rFonts w:ascii="Calibri" w:hAnsi="Calibri" w:cs="Calibri"/>
          <w:sz w:val="22"/>
          <w:szCs w:val="22"/>
        </w:rPr>
      </w:pPr>
      <w:r>
        <w:rPr>
          <w:rFonts w:ascii="Calibri" w:hAnsi="Calibri" w:cs="Calibri"/>
          <w:sz w:val="22"/>
          <w:szCs w:val="22"/>
        </w:rPr>
        <w:t xml:space="preserve">Na noite de 16/09/2026, em evento público realizado em Ceilândia (DF), o </w:t>
      </w:r>
      <w:r>
        <w:rPr>
          <w:rFonts w:ascii="Calibri" w:hAnsi="Calibri" w:cs="Calibri"/>
          <w:b/>
          <w:bCs/>
          <w:sz w:val="22"/>
          <w:szCs w:val="22"/>
        </w:rPr>
        <w:t>Presidente da República</w:t>
      </w:r>
      <w:r>
        <w:rPr>
          <w:rFonts w:ascii="Calibri" w:hAnsi="Calibri" w:cs="Calibri"/>
          <w:sz w:val="22"/>
          <w:szCs w:val="22"/>
        </w:rPr>
        <w:t>, Luiz Inácio Lula da Silva, referiu-se à situação do Banco de Brasília S.A. (BRB) e declarou que o Governo Federal não dará dinheiro à instituição.</w:t>
      </w:r>
    </w:p>
    <w:p w14:paraId="6D97F958" w14:textId="77777777" w:rsidR="00E976D5" w:rsidRDefault="00E976D5">
      <w:pPr>
        <w:pStyle w:val="Corpodetexto"/>
        <w:spacing w:after="0" w:line="360" w:lineRule="auto"/>
        <w:rPr>
          <w:rFonts w:ascii="Calibri" w:hAnsi="Calibri" w:cs="Calibri"/>
          <w:sz w:val="22"/>
          <w:szCs w:val="22"/>
        </w:rPr>
      </w:pPr>
    </w:p>
    <w:p w14:paraId="7A458B3E" w14:textId="77777777" w:rsidR="00E976D5" w:rsidRDefault="00000000">
      <w:pPr>
        <w:pStyle w:val="Corpodetexto"/>
        <w:keepNext/>
        <w:numPr>
          <w:ilvl w:val="0"/>
          <w:numId w:val="15"/>
        </w:numPr>
        <w:spacing w:after="0" w:line="360" w:lineRule="auto"/>
        <w:ind w:left="0" w:firstLine="0"/>
        <w:rPr>
          <w:rFonts w:ascii="Calibri" w:hAnsi="Calibri" w:cs="Calibri"/>
          <w:sz w:val="22"/>
          <w:szCs w:val="22"/>
        </w:rPr>
      </w:pPr>
      <w:r>
        <w:rPr>
          <w:rFonts w:ascii="Calibri" w:hAnsi="Calibri" w:cs="Calibri"/>
          <w:sz w:val="22"/>
          <w:szCs w:val="22"/>
        </w:rPr>
        <w:t>A declaração foi noticiada no mesmo dia pelas reportagens abaixo, que o Distrito Federal junta em PDF e que podem ser conferidas na fonte, pelos endereços originais:</w:t>
      </w:r>
    </w:p>
    <w:p w14:paraId="58FBC77A" w14:textId="77777777" w:rsidR="00E976D5" w:rsidRDefault="00E976D5">
      <w:pPr>
        <w:pStyle w:val="Corpodetexto"/>
        <w:keepNext/>
        <w:spacing w:after="0" w:line="360" w:lineRule="auto"/>
        <w:rPr>
          <w:rFonts w:ascii="Calibri" w:hAnsi="Calibri" w:cs="Calibri"/>
          <w:sz w:val="22"/>
          <w:szCs w:val="22"/>
        </w:rPr>
      </w:pPr>
    </w:p>
    <w:p w14:paraId="4E207A32" w14:textId="77777777" w:rsidR="00E976D5" w:rsidRDefault="00000000">
      <w:pPr>
        <w:pStyle w:val="Corpodetexto"/>
        <w:keepLines/>
        <w:pBdr>
          <w:left w:val="single" w:sz="4" w:space="4" w:color="auto"/>
        </w:pBdr>
        <w:spacing w:after="0" w:line="276" w:lineRule="auto"/>
        <w:ind w:left="567"/>
        <w:jc w:val="left"/>
        <w:rPr>
          <w:rFonts w:ascii="Calibri" w:hAnsi="Calibri" w:cs="Calibri"/>
          <w:sz w:val="22"/>
          <w:szCs w:val="22"/>
        </w:rPr>
      </w:pPr>
      <w:r>
        <w:rPr>
          <w:rFonts w:ascii="Calibri" w:hAnsi="Calibri" w:cs="Calibri"/>
          <w:b/>
          <w:bCs/>
          <w:sz w:val="22"/>
          <w:szCs w:val="22"/>
        </w:rPr>
        <w:t>Doc. 1.</w:t>
      </w:r>
      <w:r>
        <w:rPr>
          <w:rFonts w:ascii="Calibri" w:hAnsi="Calibri" w:cs="Calibri"/>
          <w:sz w:val="22"/>
          <w:szCs w:val="22"/>
        </w:rPr>
        <w:t xml:space="preserve"> Metrópoles, “‘Não vamos dar dinheiro ao BRB’, diz Lula durante ato do PT em Ceilândia”, publicada em 16/09/2026, às 22h35 (atualizada em 17/09/2026, às 7h17), com o vídeo da declaração incorporado ao texto:</w:t>
        <w:br/>
      </w:r>
      <w:hyperlink r:id="rId8" w:history="1">
        <w:r>
          <w:rPr>
            <w:rStyle w:val="Hyperlink"/>
            <w:rFonts w:ascii="Calibri" w:hAnsi="Calibri" w:cs="Calibri"/>
            <w:color w:val="0563C1"/>
            <w:sz w:val="22"/>
            <w:szCs w:val="22"/>
            <w:u w:val="single"/>
          </w:rPr>
          <w:t>https://www.metropoles.com/distrito-federal/nao-vamos-dar-dinheiro-ao-brb-diz-lula-durante-ato-do-pt-em-ceilandia</w:t>
        </w:r>
      </w:hyperlink>
    </w:p>
    <w:p w14:paraId="4EFCB910" w14:textId="77777777" w:rsidR="00E976D5" w:rsidRDefault="00E976D5">
      <w:pPr>
        <w:pStyle w:val="Corpodetexto"/>
        <w:spacing w:after="0" w:line="276" w:lineRule="auto"/>
        <w:rPr>
          <w:rFonts w:ascii="Calibri" w:hAnsi="Calibri" w:cs="Calibri"/>
          <w:sz w:val="22"/>
          <w:szCs w:val="22"/>
        </w:rPr>
      </w:pPr>
    </w:p>
    <w:p w14:paraId="5054800A" w14:textId="77777777" w:rsidR="00E976D5" w:rsidRDefault="00000000">
      <w:pPr>
        <w:pStyle w:val="Corpodetexto"/>
        <w:keepLines/>
        <w:pBdr>
          <w:left w:val="single" w:sz="4" w:space="4" w:color="auto"/>
        </w:pBdr>
        <w:spacing w:after="0" w:line="276" w:lineRule="auto"/>
        <w:ind w:left="567"/>
        <w:jc w:val="left"/>
        <w:rPr>
          <w:rFonts w:ascii="Calibri" w:hAnsi="Calibri" w:cs="Calibri"/>
          <w:sz w:val="22"/>
          <w:szCs w:val="22"/>
        </w:rPr>
      </w:pPr>
      <w:r>
        <w:rPr>
          <w:rFonts w:ascii="Calibri" w:hAnsi="Calibri" w:cs="Calibri"/>
          <w:b/>
          <w:bCs/>
          <w:sz w:val="22"/>
          <w:szCs w:val="22"/>
        </w:rPr>
        <w:t>Doc. 2.</w:t>
      </w:r>
      <w:r>
        <w:rPr>
          <w:rFonts w:ascii="Calibri" w:hAnsi="Calibri" w:cs="Calibri"/>
          <w:sz w:val="22"/>
          <w:szCs w:val="22"/>
        </w:rPr>
        <w:t xml:space="preserve"> g1, “‘Não vamos deixar o povo sem dinheiro, mas não vamos dar dinheiro para o BRB’, diz Lula em evento de campanha”, publicada em 16/09/2026, às 21h47:</w:t>
        <w:br/>
      </w:r>
      <w:hyperlink r:id="rId9" w:history="1">
        <w:r>
          <w:rPr>
            <w:rStyle w:val="Hyperlink"/>
            <w:rFonts w:ascii="Calibri" w:hAnsi="Calibri" w:cs="Calibri"/>
            <w:color w:val="0563C1"/>
            <w:sz w:val="22"/>
            <w:szCs w:val="22"/>
            <w:u w:val="single"/>
          </w:rPr>
          <w:t>https://g1.globo.com/df/distrito-federal/eleicoes/2026/noticia/2026/09/16/nao-vamos-deixar-o-povo-sem-dinheiro-mas-nao-vamos-dar-dinheiro-para-o-brb-diz-lula-em-evento-de-campanha.ghtml</w:t>
        </w:r>
      </w:hyperlink>
    </w:p>
    <w:p w14:paraId="54C0E8AE" w14:textId="77777777" w:rsidR="00E976D5" w:rsidRDefault="00E976D5">
      <w:pPr>
        <w:pStyle w:val="Corpodetexto"/>
        <w:spacing w:after="0" w:line="360" w:lineRule="auto"/>
        <w:rPr>
          <w:rFonts w:ascii="Calibri" w:hAnsi="Calibri" w:cs="Calibri"/>
          <w:sz w:val="22"/>
          <w:szCs w:val="22"/>
        </w:rPr>
      </w:pPr>
    </w:p>
    <w:p w14:paraId="07AB4E61" w14:textId="77777777" w:rsidR="00E976D5" w:rsidRDefault="00000000">
      <w:pPr>
        <w:pStyle w:val="Corpodetexto"/>
        <w:keepNext/>
        <w:numPr>
          <w:ilvl w:val="0"/>
          <w:numId w:val="15"/>
        </w:numPr>
        <w:spacing w:after="0" w:line="360" w:lineRule="auto"/>
        <w:ind w:left="0" w:firstLine="0"/>
        <w:rPr>
          <w:rFonts w:ascii="Calibri" w:hAnsi="Calibri" w:cs="Calibri"/>
          <w:sz w:val="22"/>
          <w:szCs w:val="22"/>
        </w:rPr>
      </w:pPr>
      <w:r>
        <w:rPr>
          <w:rFonts w:ascii="Calibri" w:hAnsi="Calibri" w:cs="Calibri"/>
          <w:sz w:val="22"/>
          <w:szCs w:val="22"/>
        </w:rPr>
        <w:lastRenderedPageBreak/>
        <w:t xml:space="preserve">A manifestação foi registrada em vídeo publicado pelo Metrópoles em seu canal no YouTube, em 16/09/2026, sob o título </w:t>
      </w:r>
      <w:r>
        <w:rPr>
          <w:rFonts w:ascii="Calibri" w:hAnsi="Calibri" w:cs="Calibri"/>
          <w:b/>
          <w:bCs/>
          <w:sz w:val="22"/>
          <w:szCs w:val="22"/>
        </w:rPr>
        <w:t>“‘Nós não vamos dar dinheiro para o BRB’, diz Lula”</w:t>
      </w:r>
      <w:r>
        <w:rPr>
          <w:rFonts w:ascii="Calibri" w:hAnsi="Calibri" w:cs="Calibri"/>
          <w:sz w:val="22"/>
          <w:szCs w:val="22"/>
        </w:rPr>
        <w:t>. O vídeo tem duração de 2min07s, e, no trecho entre 1min06s e 1min21s, o Presidente da República afirma:</w:t>
      </w:r>
    </w:p>
    <w:p w14:paraId="51EA99AE" w14:textId="77777777" w:rsidR="00E976D5" w:rsidRDefault="00E976D5">
      <w:pPr>
        <w:pStyle w:val="Corpodetexto"/>
        <w:keepNext/>
        <w:spacing w:after="0" w:line="276" w:lineRule="auto"/>
        <w:rPr>
          <w:rFonts w:ascii="Calibri" w:hAnsi="Calibri" w:cs="Calibri"/>
          <w:sz w:val="22"/>
          <w:szCs w:val="22"/>
        </w:rPr>
      </w:pPr>
    </w:p>
    <w:p w14:paraId="30169C20" w14:textId="77777777" w:rsidR="00E976D5" w:rsidRPr="001300BA" w:rsidRDefault="00000000">
      <w:pPr>
        <w:pStyle w:val="Textoembloco"/>
        <w:keepLines/>
        <w:pBdr>
          <w:left w:val="single" w:sz="4" w:space="4" w:color="auto"/>
        </w:pBdr>
        <w:spacing w:before="0" w:after="0" w:line="276" w:lineRule="auto"/>
        <w:ind w:left="567"/>
        <w:rPr>
          <w:rFonts w:ascii="Calibri" w:hAnsi="Calibri" w:cs="Calibri"/>
          <w:b/>
          <w:bCs/>
          <w:sz w:val="22"/>
          <w:szCs w:val="22"/>
        </w:rPr>
      </w:pPr>
      <w:r>
        <w:rPr>
          <w:rFonts w:ascii="Calibri" w:hAnsi="Calibri" w:cs="Calibri"/>
          <w:b/>
          <w:bCs/>
          <w:sz w:val="22"/>
          <w:szCs w:val="22"/>
        </w:rPr>
        <w:t>“(...) nós não vamos deixar o povo sem dinheiro, mas não vamos dar dinheiro pro BRB.”</w:t>
      </w:r>
    </w:p>
    <w:p w14:paraId="6E705163" w14:textId="77777777" w:rsidR="00E976D5" w:rsidRDefault="00E976D5">
      <w:pPr>
        <w:pStyle w:val="Corpodetexto"/>
        <w:spacing w:after="0" w:line="360" w:lineRule="auto"/>
        <w:rPr>
          <w:rFonts w:ascii="Calibri" w:hAnsi="Calibri" w:cs="Calibri"/>
          <w:sz w:val="22"/>
          <w:szCs w:val="22"/>
        </w:rPr>
      </w:pPr>
    </w:p>
    <w:p w14:paraId="65EF3408" w14:textId="2E245F56" w:rsidR="00E976D5" w:rsidRDefault="00000000">
      <w:pPr>
        <w:pStyle w:val="Corpodetexto"/>
        <w:keepNext/>
        <w:numPr>
          <w:ilvl w:val="0"/>
          <w:numId w:val="15"/>
        </w:numPr>
        <w:spacing w:after="0" w:line="360" w:lineRule="auto"/>
        <w:ind w:left="0" w:firstLine="0"/>
        <w:rPr>
          <w:rFonts w:ascii="Calibri" w:hAnsi="Calibri" w:cs="Calibri"/>
          <w:sz w:val="22"/>
          <w:szCs w:val="22"/>
        </w:rPr>
      </w:pPr>
      <w:r>
        <w:rPr>
          <w:rFonts w:ascii="Calibri" w:hAnsi="Calibri" w:cs="Calibri"/>
          <w:sz w:val="22"/>
          <w:szCs w:val="22"/>
        </w:rPr>
        <w:t xml:space="preserve">O vídeo também pode ser assistido diretamente pelo QR code ou pelo endereço eletrônico abaixo, que conduzem ao início do trecho indicado (Doc. 03):</w:t>
      </w:r>
    </w:p>
    <w:p w14:paraId="24ABF47E" w14:textId="77777777" w:rsidR="00E976D5" w:rsidRDefault="00E976D5">
      <w:pPr>
        <w:pStyle w:val="Corpodetexto"/>
        <w:keepNext/>
        <w:spacing w:after="0" w:line="360" w:lineRule="auto"/>
        <w:rPr>
          <w:rFonts w:ascii="Calibri" w:hAnsi="Calibri" w:cs="Calibri"/>
          <w:sz w:val="22"/>
          <w:szCs w:val="22"/>
        </w:rPr>
      </w:pPr>
    </w:p>
    <w:tbl>
      <w:tblPr>
        <w:tblW w:w="8838" w:type="dxa"/>
        <w:jc w:val="center"/>
        <w:tblBorders>
          <w:top w:val="nil"/>
          <w:left w:val="nil"/>
          <w:bottom w:val="nil"/>
          <w:right w:val="nil"/>
          <w:insideH w:val="nil"/>
          <w:insideV w:val="nil"/>
        </w:tblBorders>
        <w:tblLayout w:type="fixed"/>
        <w:tblCellMar>
          <w:top w:w="85" w:type="dxa"/>
          <w:left w:w="85" w:type="dxa"/>
          <w:bottom w:w="85" w:type="dxa"/>
          <w:right w:w="85" w:type="dxa"/>
        </w:tblCellMar>
        <w:tblLook w:val="0600" w:firstRow="0" w:lastRow="0" w:firstColumn="0" w:lastColumn="0" w:noHBand="1" w:noVBand="1"/>
      </w:tblPr>
      <w:tblGrid>
        <w:gridCol w:w="1985"/>
        <w:gridCol w:w="6853"/>
      </w:tblGrid>
      <w:tr w:rsidR="00E976D5" w14:paraId="14D2CBCE" w14:textId="77777777">
        <w:trPr>
          <w:cantSplit/>
          <w:jc w:val="center"/>
        </w:trPr>
        <w:tc>
          <w:tcPr>
            <w:tcW w:w="1985" w:type="dxa"/>
            <w:tcBorders>
              <w:top w:val="nil"/>
              <w:left w:val="nil"/>
              <w:bottom w:val="nil"/>
              <w:right w:val="nil"/>
            </w:tcBorders>
            <w:vAlign w:val="center"/>
          </w:tcPr>
          <w:p w14:paraId="73CF5A97" w14:textId="77777777" w:rsidR="00E976D5" w:rsidRDefault="00000000">
            <w:pPr>
              <w:pStyle w:val="Corpodetexto"/>
              <w:keepNext/>
              <w:spacing w:after="0" w:line="240" w:lineRule="auto"/>
              <w:jc w:val="center"/>
              <w:rPr>
                <w:rFonts w:ascii="Calibri" w:hAnsi="Calibri" w:cs="Calibri"/>
                <w:sz w:val="22"/>
                <w:szCs w:val="22"/>
              </w:rPr>
            </w:pPr>
            <w:r>
              <w:rPr>
                <w:noProof/>
              </w:rPr>
              <w:drawing>
                <wp:inline distT="0" distB="0" distL="0" distR="0" wp14:anchorId="501A96C7" wp14:editId="271738AC">
                  <wp:extent cx="1008000" cy="1008000"/>
                  <wp:effectExtent l="0" t="0" r="0" b="0"/>
                  <wp:docPr id="2001" name="QR code do vídeo" descr="QR code que conduz ao vídeo da manifestação pública no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video.png"/>
                          <pic:cNvPicPr>
                            <a:picLocks noChangeAspect="1" noChangeArrowheads="1"/>
                          </pic:cNvPicPr>
                        </pic:nvPicPr>
                        <pic:blipFill>
                          <a:blip r:embed="rId10"/>
                          <a:srcRect/>
                          <a:stretch>
                            <a:fillRect/>
                          </a:stretch>
                        </pic:blipFill>
                        <pic:spPr bwMode="auto">
                          <a:xfrm>
                            <a:off x="0" y="0"/>
                            <a:ext cx="1008000" cy="1008000"/>
                          </a:xfrm>
                          <a:prstGeom prst="rect">
                            <a:avLst/>
                          </a:prstGeom>
                        </pic:spPr>
                      </pic:pic>
                    </a:graphicData>
                  </a:graphic>
                </wp:inline>
              </w:drawing>
            </w:r>
          </w:p>
        </w:tc>
        <w:tc>
          <w:tcPr>
            <w:tcW w:w="6853" w:type="dxa"/>
            <w:tcBorders>
              <w:top w:val="nil"/>
              <w:left w:val="single" w:sz="4" w:space="0" w:color="auto"/>
              <w:bottom w:val="nil"/>
              <w:right w:val="nil"/>
            </w:tcBorders>
            <w:tcMar>
              <w:left w:w="170" w:type="dxa"/>
            </w:tcMar>
            <w:vAlign w:val="center"/>
          </w:tcPr>
          <w:p w14:paraId="74D3445E" w14:textId="77777777" w:rsidR="00E976D5" w:rsidRDefault="00000000">
            <w:pPr>
              <w:pStyle w:val="Corpodetexto"/>
              <w:keepNext/>
              <w:spacing w:after="0" w:line="276" w:lineRule="auto"/>
              <w:jc w:val="left"/>
              <w:rPr>
                <w:rFonts w:ascii="Calibri" w:hAnsi="Calibri" w:cs="Calibri"/>
                <w:sz w:val="22"/>
                <w:szCs w:val="22"/>
              </w:rPr>
            </w:pPr>
            <w:r>
              <w:rPr>
                <w:rFonts w:ascii="Calibri" w:hAnsi="Calibri" w:cs="Calibri"/>
                <w:b/>
                <w:bCs/>
                <w:sz w:val="20"/>
                <w:szCs w:val="20"/>
              </w:rPr>
              <w:t>Vídeo da manifestação pública mencionada</w:t>
            </w:r>
          </w:p>
          <w:p w14:paraId="67F2D18B" w14:textId="77777777" w:rsidR="00E976D5" w:rsidRDefault="00000000">
            <w:pPr>
              <w:pStyle w:val="Corpodetexto"/>
              <w:keepNext/>
              <w:spacing w:after="0" w:line="276" w:lineRule="auto"/>
              <w:jc w:val="left"/>
              <w:rPr>
                <w:rFonts w:ascii="Calibri" w:hAnsi="Calibri" w:cs="Calibri"/>
                <w:sz w:val="22"/>
                <w:szCs w:val="22"/>
              </w:rPr>
            </w:pPr>
            <w:r>
              <w:rPr>
                <w:rFonts w:ascii="Calibri" w:hAnsi="Calibri" w:cs="Calibri"/>
                <w:sz w:val="20"/>
                <w:szCs w:val="20"/>
              </w:rPr>
              <w:t>Metrópoles, canal no YouTube, 16/09/2026 (duração de 2min07s)</w:t>
            </w:r>
          </w:p>
          <w:p w14:paraId="695DA406" w14:textId="77777777" w:rsidR="00E976D5" w:rsidRDefault="00000000">
            <w:pPr>
              <w:pStyle w:val="Corpodetexto"/>
              <w:keepNext/>
              <w:spacing w:after="0" w:line="276" w:lineRule="auto"/>
              <w:jc w:val="left"/>
              <w:rPr>
                <w:rFonts w:ascii="Calibri" w:hAnsi="Calibri" w:cs="Calibri"/>
                <w:sz w:val="22"/>
                <w:szCs w:val="22"/>
              </w:rPr>
            </w:pPr>
            <w:r>
              <w:rPr>
                <w:rFonts w:ascii="Calibri" w:hAnsi="Calibri" w:cs="Calibri"/>
                <w:sz w:val="20"/>
                <w:szCs w:val="20"/>
              </w:rPr>
              <w:t>Trecho pertinente: de 1min06s a 1min21s</w:t>
            </w:r>
          </w:p>
          <w:p w14:paraId="486A74E9" w14:textId="77777777" w:rsidR="00E976D5" w:rsidRDefault="00000000">
            <w:pPr>
              <w:pStyle w:val="Corpodetexto"/>
              <w:keepNext/>
              <w:spacing w:after="0" w:line="276" w:lineRule="auto"/>
              <w:jc w:val="left"/>
              <w:rPr>
                <w:rFonts w:ascii="Calibri" w:hAnsi="Calibri" w:cs="Calibri"/>
                <w:sz w:val="22"/>
                <w:szCs w:val="22"/>
              </w:rPr>
            </w:pPr>
            <w:r>
              <w:rPr>
                <w:rFonts w:ascii="Calibri" w:hAnsi="Calibri" w:cs="Calibri"/>
                <w:sz w:val="20"/>
                <w:szCs w:val="20"/>
              </w:rPr>
              <w:t xml:space="preserve">Acesso pelo QR code ou pelo endereço:</w:t>
            </w:r>
          </w:p>
          <w:p w14:paraId="3713FCB7" w14:textId="77777777" w:rsidR="00E976D5" w:rsidRDefault="00000000">
            <w:pPr>
              <w:pStyle w:val="Corpodetexto"/>
              <w:spacing w:after="0" w:line="276" w:lineRule="auto"/>
              <w:jc w:val="left"/>
              <w:rPr>
                <w:rFonts w:ascii="Calibri" w:hAnsi="Calibri" w:cs="Calibri"/>
                <w:sz w:val="22"/>
                <w:szCs w:val="22"/>
              </w:rPr>
            </w:pPr>
            <w:hyperlink r:id="rId11" w:history="1">
              <w:r>
                <w:rPr>
                  <w:rStyle w:val="Hyperlink"/>
                  <w:rFonts w:ascii="Calibri" w:hAnsi="Calibri" w:cs="Calibri"/>
                  <w:color w:val="0563C1"/>
                  <w:sz w:val="20"/>
                  <w:szCs w:val="20"/>
                  <w:u w:val="single"/>
                </w:rPr>
                <w:t>https://www.youtube.com/watch?v=IUD4YOWJNYU&amp;t=66s</w:t>
              </w:r>
            </w:hyperlink>
          </w:p>
        </w:tc>
      </w:tr>
    </w:tbl>
    <w:p w14:paraId="75E150B6" w14:textId="77777777" w:rsidR="00E976D5" w:rsidRDefault="00E976D5">
      <w:pPr>
        <w:pStyle w:val="Corpodetexto"/>
        <w:spacing w:after="0" w:line="360" w:lineRule="auto"/>
        <w:rPr>
          <w:rFonts w:ascii="Calibri" w:hAnsi="Calibri" w:cs="Calibri"/>
          <w:sz w:val="22"/>
          <w:szCs w:val="22"/>
        </w:rPr>
      </w:pPr>
    </w:p>
    <w:p w14:paraId="5FE23CC4" w14:textId="77777777" w:rsidR="00E976D5" w:rsidRDefault="00000000">
      <w:pPr>
        <w:pStyle w:val="Corpodetexto"/>
        <w:numPr>
          <w:ilvl w:val="0"/>
          <w:numId w:val="15"/>
        </w:numPr>
        <w:spacing w:after="0" w:line="360" w:lineRule="auto"/>
        <w:ind w:left="0" w:firstLine="0"/>
        <w:rPr>
          <w:rFonts w:ascii="Calibri" w:hAnsi="Calibri" w:cs="Calibri"/>
          <w:sz w:val="22"/>
          <w:szCs w:val="22"/>
        </w:rPr>
      </w:pPr>
      <w:r>
        <w:rPr>
          <w:rFonts w:ascii="Calibri" w:hAnsi="Calibri" w:cs="Calibri"/>
          <w:sz w:val="22"/>
          <w:szCs w:val="22"/>
        </w:rPr>
        <w:t xml:space="preserve">O Distrito Federal limita-se a esse trecho, pertinente ao objeto desta ação, e registra desde logo que a frase parte de premissa que não corresponde a esse objeto. </w:t>
      </w:r>
      <w:r>
        <w:rPr>
          <w:rFonts w:ascii="Calibri" w:hAnsi="Calibri" w:cs="Calibri"/>
          <w:b/>
          <w:bCs/>
          <w:sz w:val="22"/>
          <w:szCs w:val="22"/>
        </w:rPr>
        <w:t>Não se pede nesta ação que a União dê dinheiro ao BRB.</w:t>
      </w:r>
    </w:p>
    <w:p w14:paraId="054225B7" w14:textId="77777777" w:rsidR="00E976D5" w:rsidRDefault="00E976D5">
      <w:pPr>
        <w:pStyle w:val="Corpodetexto"/>
        <w:spacing w:after="0" w:line="360" w:lineRule="auto"/>
        <w:rPr>
          <w:rFonts w:ascii="Calibri" w:hAnsi="Calibri" w:cs="Calibri"/>
          <w:sz w:val="22"/>
          <w:szCs w:val="22"/>
        </w:rPr>
      </w:pPr>
    </w:p>
    <w:p w14:paraId="55AD9048" w14:textId="77777777" w:rsidR="00E976D5" w:rsidRDefault="00000000">
      <w:pPr>
        <w:pStyle w:val="Ttulo1"/>
        <w:pBdr>
          <w:top w:val="single" w:sz="4" w:space="1" w:color="auto"/>
          <w:left w:val="single" w:sz="4" w:space="4" w:color="auto"/>
          <w:bottom w:val="single" w:sz="4" w:space="1" w:color="auto"/>
          <w:right w:val="single" w:sz="4" w:space="4" w:color="auto"/>
        </w:pBdr>
        <w:spacing w:before="0" w:after="0" w:line="360" w:lineRule="auto"/>
        <w:jc w:val="center"/>
        <w:rPr>
          <w:rFonts w:ascii="Calibri" w:hAnsi="Calibri" w:cs="Calibri"/>
          <w:sz w:val="22"/>
          <w:szCs w:val="22"/>
        </w:rPr>
      </w:pPr>
      <w:r>
        <w:rPr>
          <w:rFonts w:ascii="Calibri" w:hAnsi="Calibri" w:cs="Calibri"/>
          <w:color w:val="auto"/>
          <w:sz w:val="22"/>
          <w:szCs w:val="22"/>
        </w:rPr>
        <w:t>II. DA RELEVÂNCIA DO FATO PARA A CONTROVÉRSIA</w:t>
      </w:r>
    </w:p>
    <w:p w14:paraId="7E84F9D6" w14:textId="77777777" w:rsidR="00E976D5" w:rsidRDefault="00E976D5">
      <w:pPr>
        <w:pStyle w:val="Corpodetexto"/>
        <w:keepNext/>
        <w:spacing w:after="0" w:line="360" w:lineRule="auto"/>
        <w:rPr>
          <w:rFonts w:ascii="Calibri" w:hAnsi="Calibri" w:cs="Calibri"/>
          <w:sz w:val="22"/>
          <w:szCs w:val="22"/>
        </w:rPr>
      </w:pPr>
    </w:p>
    <w:p w14:paraId="59D6DE87" w14:textId="77777777" w:rsidR="001300BA" w:rsidRDefault="00000000">
      <w:pPr>
        <w:pStyle w:val="Corpodetexto"/>
        <w:numPr>
          <w:ilvl w:val="0"/>
          <w:numId w:val="15"/>
        </w:numPr>
        <w:spacing w:after="0" w:line="360" w:lineRule="auto"/>
        <w:ind w:left="0" w:firstLine="0"/>
        <w:rPr>
          <w:rFonts w:ascii="Calibri" w:hAnsi="Calibri" w:cs="Calibri"/>
          <w:sz w:val="22"/>
          <w:szCs w:val="22"/>
        </w:rPr>
      </w:pPr>
      <w:r>
        <w:rPr>
          <w:rFonts w:ascii="Calibri" w:hAnsi="Calibri" w:cs="Calibri"/>
          <w:sz w:val="22"/>
          <w:szCs w:val="22"/>
        </w:rPr>
        <w:t xml:space="preserve">A declaração não surge de forma isolada, pois se soma ao histórico, documentado nos autos, de resistência da União à implementação da solução homologada na ACO 3.755/DF. </w:t>
      </w:r>
    </w:p>
    <w:p w14:paraId="2CED7FF7" w14:textId="77777777" w:rsidR="001300BA" w:rsidRDefault="001300BA" w:rsidP="001300BA">
      <w:pPr>
        <w:pStyle w:val="Corpodetexto"/>
        <w:spacing w:after="0" w:line="360" w:lineRule="auto"/>
        <w:rPr>
          <w:rFonts w:ascii="Calibri" w:hAnsi="Calibri" w:cs="Calibri"/>
          <w:sz w:val="22"/>
          <w:szCs w:val="22"/>
        </w:rPr>
      </w:pPr>
    </w:p>
    <w:p w14:paraId="3E52D4DA" w14:textId="77777777" w:rsidR="001300BA" w:rsidRDefault="00000000">
      <w:pPr>
        <w:pStyle w:val="Corpodetexto"/>
        <w:numPr>
          <w:ilvl w:val="0"/>
          <w:numId w:val="15"/>
        </w:numPr>
        <w:spacing w:after="0" w:line="360" w:lineRule="auto"/>
        <w:ind w:left="0" w:firstLine="0"/>
        <w:rPr>
          <w:rFonts w:ascii="Calibri" w:hAnsi="Calibri" w:cs="Calibri"/>
          <w:sz w:val="22"/>
          <w:szCs w:val="22"/>
        </w:rPr>
      </w:pPr>
      <w:r>
        <w:rPr>
          <w:rFonts w:ascii="Calibri" w:hAnsi="Calibri" w:cs="Calibri"/>
          <w:sz w:val="22"/>
          <w:szCs w:val="22"/>
        </w:rPr>
        <w:t xml:space="preserve">O acordo de 28/05/2026 estruturou empréstimo do FGC ao Distrito Federal, para o fim exclusivo de aporte de capital no BRB, com contragarantia oferecida pelas verbas do Distrito Federal correspondentes ao FPE e ao FPM e com fiança de um sindicato de bancos, circunstância que permitiu consignar que a operação se realizaria “sem que haja aval da União” (Cláusula 1ª). </w:t>
      </w:r>
    </w:p>
    <w:p w14:paraId="7FE198EB" w14:textId="77777777" w:rsidR="001300BA" w:rsidRDefault="001300BA" w:rsidP="001300BA">
      <w:pPr>
        <w:pStyle w:val="Corpodetexto"/>
        <w:spacing w:after="0" w:line="360" w:lineRule="auto"/>
        <w:rPr>
          <w:rFonts w:ascii="Calibri" w:hAnsi="Calibri" w:cs="Calibri"/>
          <w:sz w:val="22"/>
          <w:szCs w:val="22"/>
        </w:rPr>
      </w:pPr>
    </w:p>
    <w:p w14:paraId="4E718538" w14:textId="0ABC9660" w:rsidR="00E976D5" w:rsidRDefault="00000000">
      <w:pPr>
        <w:pStyle w:val="Corpodetexto"/>
        <w:numPr>
          <w:ilvl w:val="0"/>
          <w:numId w:val="15"/>
        </w:numPr>
        <w:spacing w:after="0" w:line="360" w:lineRule="auto"/>
        <w:ind w:left="0" w:firstLine="0"/>
        <w:rPr>
          <w:rFonts w:ascii="Calibri" w:hAnsi="Calibri" w:cs="Calibri"/>
          <w:sz w:val="22"/>
          <w:szCs w:val="22"/>
        </w:rPr>
      </w:pPr>
      <w:r>
        <w:rPr>
          <w:rFonts w:ascii="Calibri" w:hAnsi="Calibri" w:cs="Calibri"/>
          <w:sz w:val="22"/>
          <w:szCs w:val="22"/>
        </w:rPr>
        <w:lastRenderedPageBreak/>
        <w:t xml:space="preserve">No mesmo termo, a União </w:t>
      </w:r>
      <w:r>
        <w:rPr>
          <w:rFonts w:ascii="Calibri" w:hAnsi="Calibri" w:cs="Calibri"/>
          <w:b/>
          <w:bCs/>
          <w:sz w:val="22"/>
          <w:szCs w:val="22"/>
        </w:rPr>
        <w:t>ratificou o compromisso de viabilizar, no âmbito do PAF, “os limites necessários para que a operação ocorra”</w:t>
      </w:r>
      <w:r>
        <w:rPr>
          <w:rFonts w:ascii="Calibri" w:hAnsi="Calibri" w:cs="Calibri"/>
          <w:sz w:val="22"/>
          <w:szCs w:val="22"/>
        </w:rPr>
        <w:t xml:space="preserve"> (preâmbulo, item “ii”, alínea “b”).</w:t>
      </w:r>
    </w:p>
    <w:p w14:paraId="7410A68F" w14:textId="77777777" w:rsidR="00E976D5" w:rsidRDefault="00E976D5">
      <w:pPr>
        <w:pStyle w:val="Corpodetexto"/>
        <w:spacing w:after="0" w:line="360" w:lineRule="auto"/>
        <w:rPr>
          <w:rFonts w:ascii="Calibri" w:hAnsi="Calibri" w:cs="Calibri"/>
          <w:sz w:val="22"/>
          <w:szCs w:val="22"/>
        </w:rPr>
      </w:pPr>
    </w:p>
    <w:p w14:paraId="3DD2A766" w14:textId="77777777" w:rsidR="00E976D5" w:rsidRDefault="00000000">
      <w:pPr>
        <w:pStyle w:val="Corpodetexto"/>
        <w:numPr>
          <w:ilvl w:val="0"/>
          <w:numId w:val="15"/>
        </w:numPr>
        <w:spacing w:after="0" w:line="360" w:lineRule="auto"/>
        <w:ind w:left="0" w:firstLine="0"/>
        <w:rPr>
          <w:rFonts w:ascii="Calibri" w:hAnsi="Calibri" w:cs="Calibri"/>
          <w:sz w:val="22"/>
          <w:szCs w:val="22"/>
        </w:rPr>
      </w:pPr>
      <w:r>
        <w:rPr>
          <w:rFonts w:ascii="Calibri" w:hAnsi="Calibri" w:cs="Calibri"/>
          <w:sz w:val="22"/>
          <w:szCs w:val="22"/>
        </w:rPr>
        <w:t xml:space="preserve">A fiança, porém, nunca se constituiu. Em 06/08/2026, o Banco do Brasil S.A. declarou nos autos da ACO 3.755/DF que </w:t>
      </w:r>
      <w:r>
        <w:rPr>
          <w:rFonts w:ascii="Calibri" w:hAnsi="Calibri" w:cs="Calibri"/>
          <w:b/>
          <w:bCs/>
          <w:sz w:val="22"/>
          <w:szCs w:val="22"/>
        </w:rPr>
        <w:t>“jamais houve a constituição de consórcio de bancos”</w:t>
      </w:r>
      <w:r>
        <w:rPr>
          <w:rFonts w:ascii="Calibri" w:hAnsi="Calibri" w:cs="Calibri"/>
          <w:sz w:val="22"/>
          <w:szCs w:val="22"/>
        </w:rPr>
        <w:t>, e, na audiência de 13/08/2026, presidida por Vossa Excelência, a União manifestou não ser sua intenção figurar como garantidora da operação.</w:t>
      </w:r>
    </w:p>
    <w:p w14:paraId="556CB9D0" w14:textId="77777777" w:rsidR="00E976D5" w:rsidRDefault="00E976D5">
      <w:pPr>
        <w:pStyle w:val="Corpodetexto"/>
        <w:spacing w:after="0" w:line="360" w:lineRule="auto"/>
        <w:rPr>
          <w:rFonts w:ascii="Calibri" w:hAnsi="Calibri" w:cs="Calibri"/>
          <w:sz w:val="22"/>
          <w:szCs w:val="22"/>
        </w:rPr>
      </w:pPr>
    </w:p>
    <w:p w14:paraId="47213E86" w14:textId="77777777" w:rsidR="00E976D5" w:rsidRDefault="00000000">
      <w:pPr>
        <w:pStyle w:val="Corpodetexto"/>
        <w:numPr>
          <w:ilvl w:val="0"/>
          <w:numId w:val="15"/>
        </w:numPr>
        <w:spacing w:after="0" w:line="360" w:lineRule="auto"/>
        <w:ind w:left="0" w:firstLine="0"/>
        <w:rPr>
          <w:rFonts w:ascii="Calibri" w:hAnsi="Calibri" w:cs="Calibri"/>
          <w:sz w:val="22"/>
          <w:szCs w:val="22"/>
        </w:rPr>
      </w:pPr>
      <w:r>
        <w:rPr>
          <w:rFonts w:ascii="Calibri" w:hAnsi="Calibri" w:cs="Calibri"/>
          <w:sz w:val="22"/>
          <w:szCs w:val="22"/>
        </w:rPr>
        <w:t xml:space="preserve">Provocada pelo Distrito Federal em 19 e em 20/08/2026, a União respondeu por meio dos Ofícios SEI n. 45083/2026/MF, de 24/08/2026, e n. 46336/2026/MF, de 31/08/2026, condicionando a adoção das providências que lhe competem a entendimento prévio do Distrito Federal com as instituições financeiras. O Ministério da Fazenda acrescentou que </w:t>
      </w:r>
      <w:r>
        <w:rPr>
          <w:rFonts w:ascii="Calibri" w:hAnsi="Calibri" w:cs="Calibri"/>
          <w:b/>
          <w:bCs/>
          <w:sz w:val="22"/>
          <w:szCs w:val="22"/>
        </w:rPr>
        <w:t>“a estruturação e a execução da operação não se inserem nas atribuições do Governo Federal</w:t>
      </w:r>
      <w:r>
        <w:rPr>
          <w:rFonts w:ascii="Calibri" w:hAnsi="Calibri" w:cs="Calibri"/>
          <w:sz w:val="22"/>
          <w:szCs w:val="22"/>
        </w:rPr>
        <w:t>, o que nunca impediu que ajudássemos no que coubesse”.</w:t>
      </w:r>
    </w:p>
    <w:p w14:paraId="61686BFA" w14:textId="77777777" w:rsidR="00E976D5" w:rsidRDefault="00E976D5">
      <w:pPr>
        <w:pStyle w:val="Corpodetexto"/>
        <w:spacing w:after="0" w:line="360" w:lineRule="auto"/>
        <w:rPr>
          <w:rFonts w:ascii="Calibri" w:hAnsi="Calibri" w:cs="Calibri"/>
          <w:sz w:val="22"/>
          <w:szCs w:val="22"/>
        </w:rPr>
      </w:pPr>
    </w:p>
    <w:p w14:paraId="7E0332BA" w14:textId="77777777" w:rsidR="00E976D5" w:rsidRDefault="00000000">
      <w:pPr>
        <w:pStyle w:val="Corpodetexto"/>
        <w:numPr>
          <w:ilvl w:val="0"/>
          <w:numId w:val="15"/>
        </w:numPr>
        <w:spacing w:after="0" w:line="360" w:lineRule="auto"/>
        <w:ind w:left="0" w:firstLine="0"/>
        <w:rPr>
          <w:rFonts w:ascii="Calibri" w:hAnsi="Calibri" w:cs="Calibri"/>
          <w:sz w:val="22"/>
          <w:szCs w:val="22"/>
        </w:rPr>
      </w:pPr>
      <w:r>
        <w:rPr>
          <w:rFonts w:ascii="Calibri" w:hAnsi="Calibri" w:cs="Calibri"/>
          <w:sz w:val="22"/>
          <w:szCs w:val="22"/>
        </w:rPr>
        <w:t>O ato de viabilização dos limites no PAF, devido desde 28/05/2026, tampouco havia sido editado quando esta ação foi ajuizada. Como demonstrado na inicial (item III.4), esse conjunto não revela recusa de diálogo, mas resistência à prática dos atos concretos de que a implementação do acordo depende, e foi esse quadro que levou o Distrito Federal a ajuizar esta ação.</w:t>
      </w:r>
    </w:p>
    <w:p w14:paraId="5BBE12C3" w14:textId="77777777" w:rsidR="00E976D5" w:rsidRDefault="00E976D5">
      <w:pPr>
        <w:pStyle w:val="Corpodetexto"/>
        <w:spacing w:after="0" w:line="360" w:lineRule="auto"/>
        <w:rPr>
          <w:rFonts w:ascii="Calibri" w:hAnsi="Calibri" w:cs="Calibri"/>
          <w:sz w:val="22"/>
          <w:szCs w:val="22"/>
        </w:rPr>
      </w:pPr>
    </w:p>
    <w:p>
      <w:pPr>
        <w:pStyle w:val="Corpodetexto"/>
        <w:numPr>
          <w:ilvl w:val="0"/>
          <w:numId w:val="15"/>
        </w:numPr>
        <w:spacing w:after="0" w:line="360" w:lineRule="auto"/>
        <w:ind w:left="0" w:firstLine="0"/>
        <w:rPr>
          <w:rFonts w:ascii="Calibri" w:hAnsi="Calibri" w:cs="Calibri"/>
          <w:sz w:val="22"/>
          <w:szCs w:val="22"/>
        </w:rPr>
      </w:pPr>
      <w:r>
        <w:rPr>
          <w:rFonts w:ascii="Calibri" w:hAnsi="Calibri" w:cs="Calibri"/>
          <w:sz w:val="22"/>
          <w:szCs w:val="22"/>
        </w:rPr>
        <w:t xml:space="preserve">A declaração de 16/09/2026 sobrevém nesse contexto e acrescenta a ele um dado novo: </w:t>
      </w:r>
      <w:r>
        <w:rPr>
          <w:rFonts w:ascii="Calibri" w:hAnsi="Calibri" w:cs="Calibri"/>
          <w:b/>
          <w:bCs/>
          <w:sz w:val="22"/>
          <w:szCs w:val="22"/>
        </w:rPr>
        <w:t xml:space="preserve">a natureza do motivo da resistência federal</w:t>
      </w:r>
      <w:r>
        <w:rPr>
          <w:rFonts w:ascii="Calibri" w:hAnsi="Calibri" w:cs="Calibri"/>
          <w:sz w:val="22"/>
          <w:szCs w:val="22"/>
        </w:rPr>
        <w:t xml:space="preserve">.</w:t>
      </w:r>
    </w:p>
    <w:p w14:paraId="04FFEA17" w14:textId="77777777" w:rsidR="00E976D5" w:rsidRDefault="00E976D5">
      <w:pPr>
        <w:pStyle w:val="Corpodetexto"/>
        <w:spacing w:after="0" w:line="360" w:lineRule="auto"/>
        <w:rPr>
          <w:rFonts w:ascii="Calibri" w:hAnsi="Calibri" w:cs="Calibri"/>
          <w:sz w:val="22"/>
          <w:szCs w:val="22"/>
        </w:rPr>
      </w:pPr>
    </w:p>
    <w:p>
      <w:pPr>
        <w:pStyle w:val="Corpodetexto"/>
        <w:numPr>
          <w:ilvl w:val="0"/>
          <w:numId w:val="15"/>
        </w:numPr>
        <w:spacing w:after="0" w:line="360" w:lineRule="auto"/>
        <w:ind w:left="0" w:firstLine="0"/>
        <w:rPr>
          <w:rFonts w:ascii="Calibri" w:hAnsi="Calibri" w:cs="Calibri"/>
          <w:sz w:val="22"/>
          <w:szCs w:val="22"/>
        </w:rPr>
      </w:pPr>
      <w:r>
        <w:rPr>
          <w:rFonts w:ascii="Calibri" w:hAnsi="Calibri" w:cs="Calibri"/>
          <w:sz w:val="22"/>
          <w:szCs w:val="22"/>
        </w:rPr>
        <w:t xml:space="preserve">A declaração não foi feita em ato de governo, entrevista ou manifestação institucional. Foi feita em comício, no primeiro ato de campanha do Presidente da República no Distrito Federal nestas eleições, ao lado dos candidatos de seu partido e de partidos aliados, e </w:t>
      </w:r>
      <w:r>
        <w:rPr>
          <w:rFonts w:ascii="Calibri" w:hAnsi="Calibri" w:cs="Calibri"/>
          <w:b/>
          <w:bCs/>
          <w:sz w:val="22"/>
          <w:szCs w:val="22"/>
        </w:rPr>
        <w:t xml:space="preserve">foi seguida de pedido expresso de voto para o candidato que ele apoia ao Governo do Distrito Federal</w:t>
      </w:r>
      <w:r>
        <w:rPr>
          <w:rFonts w:ascii="Calibri" w:hAnsi="Calibri" w:cs="Calibri"/>
          <w:sz w:val="22"/>
          <w:szCs w:val="22"/>
        </w:rPr>
        <w:t xml:space="preserve"> (Doc. 1).</w:t>
      </w:r>
    </w:p>
    <w:p w14:paraId="04FFEA17" w14:textId="77777777" w:rsidR="00E976D5" w:rsidRDefault="00E976D5">
      <w:pPr>
        <w:pStyle w:val="Corpodetexto"/>
        <w:spacing w:after="0" w:line="360" w:lineRule="auto"/>
        <w:rPr>
          <w:rFonts w:ascii="Calibri" w:hAnsi="Calibri" w:cs="Calibri"/>
          <w:sz w:val="22"/>
          <w:szCs w:val="22"/>
        </w:rPr>
      </w:pPr>
    </w:p>
    <w:p>
      <w:pPr>
        <w:pStyle w:val="Corpodetexto"/>
        <w:numPr>
          <w:ilvl w:val="0"/>
          <w:numId w:val="15"/>
        </w:numPr>
        <w:spacing w:after="0" w:line="360" w:lineRule="auto"/>
        <w:ind w:left="0" w:firstLine="0"/>
        <w:rPr>
          <w:rFonts w:ascii="Calibri" w:hAnsi="Calibri" w:cs="Calibri"/>
          <w:sz w:val="22"/>
          <w:szCs w:val="22"/>
        </w:rPr>
      </w:pPr>
      <w:r>
        <w:rPr>
          <w:rFonts w:ascii="Calibri" w:hAnsi="Calibri" w:cs="Calibri"/>
          <w:sz w:val="22"/>
          <w:szCs w:val="22"/>
        </w:rPr>
        <w:t xml:space="preserve">Nos ofícios e nos autos, a União afirma que </w:t>
      </w:r>
      <w:r>
        <w:rPr>
          <w:rFonts w:ascii="Calibri" w:hAnsi="Calibri" w:cs="Calibri"/>
          <w:b/>
          <w:bCs/>
          <w:sz w:val="22"/>
          <w:szCs w:val="22"/>
        </w:rPr>
        <w:t xml:space="preserve">não pode</w:t>
      </w:r>
      <w:r>
        <w:rPr>
          <w:rFonts w:ascii="Calibri" w:hAnsi="Calibri" w:cs="Calibri"/>
          <w:sz w:val="22"/>
          <w:szCs w:val="22"/>
        </w:rPr>
        <w:t xml:space="preserve"> figurar como garantidora. No comício, o Chefe do Executivo Federal afirma que </w:t>
      </w:r>
      <w:r>
        <w:rPr>
          <w:rFonts w:ascii="Calibri" w:hAnsi="Calibri" w:cs="Calibri"/>
          <w:b/>
          <w:bCs/>
          <w:sz w:val="22"/>
          <w:szCs w:val="22"/>
        </w:rPr>
        <w:t xml:space="preserve">não vai</w:t>
      </w:r>
      <w:r>
        <w:rPr>
          <w:rFonts w:ascii="Calibri" w:hAnsi="Calibri" w:cs="Calibri"/>
          <w:sz w:val="22"/>
          <w:szCs w:val="22"/>
        </w:rPr>
        <w:t xml:space="preserve">. A distância entre a alegada impossibilidade e a declaração de vontade indica que a resistência da União não decorre de óbice jurídico ou fiscal, mas de decisão política, e que </w:t>
      </w:r>
      <w:r>
        <w:rPr>
          <w:rFonts w:ascii="Calibri" w:hAnsi="Calibri" w:cs="Calibri"/>
          <w:b/>
          <w:bCs/>
          <w:sz w:val="22"/>
          <w:szCs w:val="22"/>
        </w:rPr>
        <w:t xml:space="preserve">essa decisão está associada à disputa pelo Governo do Distrito Federal</w:t>
      </w:r>
      <w:r>
        <w:rPr>
          <w:rFonts w:ascii="Calibri" w:hAnsi="Calibri" w:cs="Calibri"/>
          <w:sz w:val="22"/>
          <w:szCs w:val="22"/>
        </w:rPr>
        <w:t xml:space="preserve">.</w:t>
      </w:r>
    </w:p>
    <w:p w14:paraId="04FFEA17" w14:textId="77777777" w:rsidR="00E976D5" w:rsidRDefault="00E976D5">
      <w:pPr>
        <w:pStyle w:val="Corpodetexto"/>
        <w:spacing w:after="0" w:line="360" w:lineRule="auto"/>
        <w:rPr>
          <w:rFonts w:ascii="Calibri" w:hAnsi="Calibri" w:cs="Calibri"/>
          <w:sz w:val="22"/>
          <w:szCs w:val="22"/>
        </w:rPr>
      </w:pPr>
    </w:p>
    <w:p w14:paraId="68C41EB0" w14:textId="0D798197" w:rsidR="00E976D5" w:rsidRDefault="001300BA">
      <w:pPr>
        <w:pStyle w:val="Corpodetexto"/>
        <w:numPr>
          <w:ilvl w:val="0"/>
          <w:numId w:val="15"/>
        </w:numPr>
        <w:spacing w:after="0" w:line="360" w:lineRule="auto"/>
        <w:ind w:left="0" w:firstLine="0"/>
        <w:rPr>
          <w:rFonts w:ascii="Calibri" w:hAnsi="Calibri" w:cs="Calibri"/>
          <w:sz w:val="22"/>
          <w:szCs w:val="22"/>
        </w:rPr>
      </w:pPr>
      <w:r>
        <w:rPr>
          <w:rFonts w:ascii="Calibri" w:hAnsi="Calibri" w:cs="Calibri"/>
          <w:sz w:val="22"/>
          <w:szCs w:val="22"/>
        </w:rPr>
        <w:t xml:space="preserve">Não se trata, portanto, de fala sem consequência prática. Pela autoridade institucional de quem a profere e pela convergência com a conduta já documentada, </w:t>
      </w:r>
      <w:r>
        <w:rPr>
          <w:rFonts w:ascii="Calibri" w:hAnsi="Calibri" w:cs="Calibri"/>
          <w:b/>
          <w:bCs/>
          <w:sz w:val="22"/>
          <w:szCs w:val="22"/>
        </w:rPr>
        <w:t xml:space="preserve">a declaração permite antever, </w:t>
        <w:lastRenderedPageBreak/>
        <w:t xml:space="preserve">com elevado grau de concretude, a orientação que tende a pautar a posição da União nesta controvérsia</w:t>
      </w:r>
      <w:r>
        <w:rPr>
          <w:rFonts w:ascii="Calibri" w:hAnsi="Calibri" w:cs="Calibri"/>
          <w:sz w:val="22"/>
          <w:szCs w:val="22"/>
        </w:rPr>
        <w:t>. É essa circunstância que justifica a sua comunicação imediata a Vossa Excelência.</w:t>
      </w:r>
    </w:p>
    <w:p w14:paraId="46DA37D4" w14:textId="77777777" w:rsidR="00E976D5" w:rsidRDefault="00E976D5">
      <w:pPr>
        <w:pStyle w:val="Corpodetexto"/>
        <w:spacing w:after="0" w:line="360" w:lineRule="auto"/>
        <w:rPr>
          <w:rFonts w:ascii="Calibri" w:hAnsi="Calibri" w:cs="Calibri"/>
          <w:sz w:val="22"/>
          <w:szCs w:val="22"/>
        </w:rPr>
      </w:pPr>
    </w:p>
    <w:p w14:paraId="3C9C9D74" w14:textId="36A86AA4" w:rsidR="00E976D5" w:rsidRDefault="00000000">
      <w:pPr>
        <w:pStyle w:val="Corpodetexto"/>
        <w:numPr>
          <w:ilvl w:val="0"/>
          <w:numId w:val="15"/>
        </w:numPr>
        <w:spacing w:after="0" w:line="360" w:lineRule="auto"/>
        <w:ind w:left="0" w:firstLine="0"/>
        <w:rPr>
          <w:rFonts w:ascii="Calibri" w:hAnsi="Calibri" w:cs="Calibri"/>
          <w:sz w:val="22"/>
          <w:szCs w:val="22"/>
        </w:rPr>
      </w:pPr>
      <w:r>
        <w:rPr>
          <w:rFonts w:ascii="Calibri" w:hAnsi="Calibri" w:cs="Calibri"/>
          <w:sz w:val="22"/>
          <w:szCs w:val="22"/>
        </w:rPr>
        <w:t xml:space="preserve">Como já registrado, a frase presidencial deixa evidente a resistência à participação federal na solução da crise do BRB. Essa resistência se manifesta no exato momento em que esta ação discute a participação da União por meio da garantia requerida, o que torna necessário delimitar com precisão o que se pede.</w:t>
      </w:r>
    </w:p>
    <w:p w14:paraId="5F513205" w14:textId="77777777" w:rsidR="00E976D5" w:rsidRDefault="00E976D5">
      <w:pPr>
        <w:pStyle w:val="Corpodetexto"/>
        <w:spacing w:after="0" w:line="360" w:lineRule="auto"/>
        <w:rPr>
          <w:rFonts w:ascii="Calibri" w:hAnsi="Calibri" w:cs="Calibri"/>
          <w:sz w:val="22"/>
          <w:szCs w:val="22"/>
        </w:rPr>
      </w:pPr>
    </w:p>
    <w:p w14:paraId="48F8E393" w14:textId="77777777" w:rsidR="00E976D5" w:rsidRDefault="00000000">
      <w:pPr>
        <w:pStyle w:val="Corpodetexto"/>
        <w:numPr>
          <w:ilvl w:val="0"/>
          <w:numId w:val="15"/>
        </w:numPr>
        <w:spacing w:after="0" w:line="360" w:lineRule="auto"/>
        <w:ind w:left="0" w:firstLine="0"/>
        <w:rPr>
          <w:rFonts w:ascii="Calibri" w:hAnsi="Calibri" w:cs="Calibri"/>
          <w:sz w:val="22"/>
          <w:szCs w:val="22"/>
        </w:rPr>
      </w:pPr>
      <w:r>
        <w:rPr>
          <w:rFonts w:ascii="Calibri" w:hAnsi="Calibri" w:cs="Calibri"/>
          <w:b/>
          <w:bCs/>
          <w:sz w:val="22"/>
          <w:szCs w:val="22"/>
        </w:rPr>
        <w:t>O autor desta ação é o Distrito Federal, e não o BRB.</w:t>
      </w:r>
      <w:r>
        <w:rPr>
          <w:rFonts w:ascii="Calibri" w:hAnsi="Calibri" w:cs="Calibri"/>
          <w:sz w:val="22"/>
          <w:szCs w:val="22"/>
        </w:rPr>
        <w:t xml:space="preserve"> O ente federado, parte do acordo homologado e mutuário da operação, comparece a este Tribunal para exigir o cumprimento de obrigações relacionadas à solução homologada, </w:t>
      </w:r>
      <w:r>
        <w:rPr>
          <w:rFonts w:ascii="Calibri" w:hAnsi="Calibri" w:cs="Calibri"/>
          <w:b/>
          <w:bCs/>
          <w:sz w:val="22"/>
          <w:szCs w:val="22"/>
        </w:rPr>
        <w:t>e não para pedir auxílio financeiro em nome da instituição.</w:t>
      </w:r>
    </w:p>
    <w:p w14:paraId="0F3F5E9D" w14:textId="77777777" w:rsidR="00E976D5" w:rsidRDefault="00E976D5">
      <w:pPr>
        <w:pStyle w:val="Corpodetexto"/>
        <w:spacing w:after="0" w:line="360" w:lineRule="auto"/>
        <w:rPr>
          <w:rFonts w:ascii="Calibri" w:hAnsi="Calibri" w:cs="Calibri"/>
          <w:sz w:val="22"/>
          <w:szCs w:val="22"/>
        </w:rPr>
      </w:pPr>
    </w:p>
    <w:p w14:paraId="0D1D6935" w14:textId="77777777" w:rsidR="00E976D5" w:rsidRDefault="00000000">
      <w:pPr>
        <w:pStyle w:val="Corpodetexto"/>
        <w:numPr>
          <w:ilvl w:val="0"/>
          <w:numId w:val="15"/>
        </w:numPr>
        <w:spacing w:after="0" w:line="360" w:lineRule="auto"/>
        <w:ind w:left="0" w:firstLine="0"/>
        <w:rPr>
          <w:rFonts w:ascii="Calibri" w:hAnsi="Calibri" w:cs="Calibri"/>
          <w:sz w:val="22"/>
          <w:szCs w:val="22"/>
        </w:rPr>
      </w:pPr>
      <w:r>
        <w:rPr>
          <w:rFonts w:ascii="Calibri" w:hAnsi="Calibri" w:cs="Calibri"/>
          <w:b/>
          <w:bCs/>
          <w:sz w:val="22"/>
          <w:szCs w:val="22"/>
        </w:rPr>
        <w:t>Os recursos da operação serão fornecidos pelo FGC</w:t>
      </w:r>
      <w:r>
        <w:rPr>
          <w:rFonts w:ascii="Calibri" w:hAnsi="Calibri" w:cs="Calibri"/>
          <w:sz w:val="22"/>
          <w:szCs w:val="22"/>
        </w:rPr>
        <w:t>, que nela figura como mutuante. O mutuário é o Distrito Federal, que contrata na qualidade de controlador do BRB, se obriga ao pagamento, oferece em contragarantia a vinculação e a cessão das suas quotas do FPE e do FPM e destina os recursos, com exclusividade, ao aporte de capital na instituição (Cláusulas 1ª, 2.1 e 2.2).</w:t>
      </w:r>
    </w:p>
    <w:p w14:paraId="3C59C443" w14:textId="77777777" w:rsidR="00E976D5" w:rsidRDefault="00E976D5">
      <w:pPr>
        <w:pStyle w:val="Corpodetexto"/>
        <w:spacing w:after="0" w:line="360" w:lineRule="auto"/>
        <w:rPr>
          <w:rFonts w:ascii="Calibri" w:hAnsi="Calibri" w:cs="Calibri"/>
          <w:sz w:val="22"/>
          <w:szCs w:val="22"/>
        </w:rPr>
      </w:pPr>
    </w:p>
    <w:p w14:paraId="5ACB060B" w14:textId="77777777" w:rsidR="00E976D5" w:rsidRDefault="00000000">
      <w:pPr>
        <w:pStyle w:val="Corpodetexto"/>
        <w:numPr>
          <w:ilvl w:val="0"/>
          <w:numId w:val="15"/>
        </w:numPr>
        <w:spacing w:after="0" w:line="360" w:lineRule="auto"/>
        <w:ind w:left="0" w:firstLine="0"/>
        <w:rPr>
          <w:rFonts w:ascii="Calibri" w:hAnsi="Calibri" w:cs="Calibri"/>
          <w:sz w:val="22"/>
          <w:szCs w:val="22"/>
        </w:rPr>
      </w:pPr>
      <w:r>
        <w:rPr>
          <w:rFonts w:ascii="Calibri" w:hAnsi="Calibri" w:cs="Calibri"/>
          <w:sz w:val="22"/>
          <w:szCs w:val="22"/>
        </w:rPr>
        <w:t xml:space="preserve">Em síntese, </w:t>
      </w:r>
      <w:r>
        <w:rPr>
          <w:rFonts w:ascii="Calibri" w:hAnsi="Calibri" w:cs="Calibri"/>
          <w:b/>
          <w:bCs/>
          <w:sz w:val="22"/>
          <w:szCs w:val="22"/>
        </w:rPr>
        <w:t>o que se requer da União é a garantia necessária à operação estruturada no acordo homologado</w:t>
      </w:r>
      <w:r>
        <w:rPr>
          <w:rFonts w:ascii="Calibri" w:hAnsi="Calibri" w:cs="Calibri"/>
          <w:sz w:val="22"/>
          <w:szCs w:val="22"/>
        </w:rPr>
        <w:t xml:space="preserve">, em substituição à fiança bancária que nunca se constituiu, e o ato de viabilização dos limites no PAF, este objeto de compromisso expresso (preâmbulo, item “ii”, alínea “b”). </w:t>
      </w:r>
      <w:r>
        <w:rPr>
          <w:rFonts w:ascii="Calibri" w:hAnsi="Calibri" w:cs="Calibri"/>
          <w:b/>
          <w:bCs/>
          <w:sz w:val="22"/>
          <w:szCs w:val="22"/>
        </w:rPr>
        <w:t>Nenhum desses pedidos envolve empréstimo da União ao BRB</w:t>
      </w:r>
      <w:r>
        <w:rPr>
          <w:rFonts w:ascii="Calibri" w:hAnsi="Calibri" w:cs="Calibri"/>
          <w:sz w:val="22"/>
          <w:szCs w:val="22"/>
        </w:rPr>
        <w:t>, aporte de recursos federais na instituição, transferência do Tesouro Nacional ao banco ou financiamento do BRB pela União, e a via subsidiária, de contragarantia constituída diretamente em favor do FGC, dispensa até mesmo a garantia federal.</w:t>
      </w:r>
    </w:p>
    <w:p w14:paraId="39B3CDAE" w14:textId="77777777" w:rsidR="00E976D5" w:rsidRDefault="00E976D5">
      <w:pPr>
        <w:pStyle w:val="Corpodetexto"/>
        <w:spacing w:after="0" w:line="360" w:lineRule="auto"/>
        <w:rPr>
          <w:rFonts w:ascii="Calibri" w:hAnsi="Calibri" w:cs="Calibri"/>
          <w:sz w:val="22"/>
          <w:szCs w:val="22"/>
        </w:rPr>
      </w:pPr>
    </w:p>
    <w:p w14:paraId="41E66573" w14:textId="77777777" w:rsidR="00E976D5" w:rsidRPr="00DE11B4" w:rsidRDefault="00000000">
      <w:pPr>
        <w:pStyle w:val="Corpodetexto"/>
        <w:numPr>
          <w:ilvl w:val="0"/>
          <w:numId w:val="15"/>
        </w:numPr>
        <w:spacing w:after="0" w:line="360" w:lineRule="auto"/>
        <w:ind w:left="0" w:firstLine="0"/>
        <w:rPr>
          <w:rFonts w:ascii="Calibri" w:hAnsi="Calibri" w:cs="Calibri"/>
          <w:b/>
          <w:bCs/>
          <w:sz w:val="22"/>
          <w:szCs w:val="22"/>
        </w:rPr>
      </w:pPr>
      <w:r>
        <w:rPr>
          <w:rFonts w:ascii="Calibri" w:hAnsi="Calibri" w:cs="Calibri"/>
          <w:b/>
          <w:bCs/>
          <w:sz w:val="22"/>
          <w:szCs w:val="22"/>
        </w:rPr>
        <w:t>Uma coisa é a União entregar dinheiro ao BRB. Outra, juridicamente diversa, é garantir operação de crédito cujos recursos vêm do FGC e cujo pagamento cabe ao Distrito Federal.</w:t>
      </w:r>
      <w:r>
        <w:rPr>
          <w:rFonts w:ascii="Calibri" w:hAnsi="Calibri" w:cs="Calibri"/>
          <w:sz w:val="22"/>
          <w:szCs w:val="22"/>
        </w:rPr>
        <w:t xml:space="preserve"> Garantia e desembolso de recursos não se confundem, pois o garantidor não financia o devedor, </w:t>
        <w:lastRenderedPageBreak/>
        <w:t xml:space="preserve">mas assegura ao credor o cumprimento da obrigação. No caso, a União contaria com a vinculação das quotas do FPE e do FPM e com poderes para retê-las e empregar o respectivo valor na liquidação da dívida vencida (art. 40, § 1º, inciso II, da Lei Complementar n. 101/2000; art. 167, § 4º, da Constituição). </w:t>
      </w:r>
      <w:r>
        <w:rPr>
          <w:rFonts w:ascii="Calibri" w:hAnsi="Calibri" w:cs="Calibri"/>
          <w:b/>
          <w:bCs/>
          <w:sz w:val="22"/>
          <w:szCs w:val="22"/>
        </w:rPr>
        <w:t xml:space="preserve">A concessão da garantia, assim contragarantida, não implica dispêndio imediato do Tesouro Nacional (inicial, item VIII.5).</w:t>
      </w:r>
    </w:p>
    <w:p w14:paraId="3ECED36E" w14:textId="77777777" w:rsidR="00E976D5" w:rsidRDefault="00E976D5">
      <w:pPr>
        <w:pStyle w:val="Corpodetexto"/>
        <w:spacing w:after="0" w:line="360" w:lineRule="auto"/>
        <w:rPr>
          <w:rFonts w:ascii="Calibri" w:hAnsi="Calibri" w:cs="Calibri"/>
          <w:sz w:val="22"/>
          <w:szCs w:val="22"/>
        </w:rPr>
      </w:pPr>
    </w:p>
    <w:p w14:paraId="1F91F6F5" w14:textId="77777777" w:rsidR="00E976D5" w:rsidRDefault="00000000">
      <w:pPr>
        <w:pStyle w:val="Corpodetexto"/>
        <w:numPr>
          <w:ilvl w:val="0"/>
          <w:numId w:val="15"/>
        </w:numPr>
        <w:spacing w:after="0" w:line="360" w:lineRule="auto"/>
        <w:ind w:left="0" w:firstLine="0"/>
        <w:rPr>
          <w:rFonts w:ascii="Calibri" w:hAnsi="Calibri" w:cs="Calibri"/>
          <w:sz w:val="22"/>
          <w:szCs w:val="22"/>
        </w:rPr>
      </w:pPr>
      <w:r>
        <w:rPr>
          <w:rFonts w:ascii="Calibri" w:hAnsi="Calibri" w:cs="Calibri"/>
          <w:sz w:val="22"/>
          <w:szCs w:val="22"/>
        </w:rPr>
        <w:t xml:space="preserve">A operação, portanto, não nasce agora, e </w:t>
      </w:r>
      <w:r>
        <w:rPr>
          <w:rFonts w:ascii="Calibri" w:hAnsi="Calibri" w:cs="Calibri"/>
          <w:b/>
          <w:bCs/>
          <w:sz w:val="22"/>
          <w:szCs w:val="22"/>
        </w:rPr>
        <w:t>esta ação não veicula pedido de recursos federais nem pretensão improvisada</w:t>
      </w:r>
      <w:r>
        <w:rPr>
          <w:rFonts w:ascii="Calibri" w:hAnsi="Calibri" w:cs="Calibri"/>
          <w:sz w:val="22"/>
          <w:szCs w:val="22"/>
        </w:rPr>
        <w:t xml:space="preserve">. Ela integra solução construída em audiências presididas por Vossa Excelência e homologada por este Tribunal como instrumento </w:t>
      </w:r>
      <w:r>
        <w:rPr>
          <w:rFonts w:ascii="Calibri" w:hAnsi="Calibri" w:cs="Calibri"/>
          <w:b/>
          <w:bCs/>
          <w:sz w:val="22"/>
          <w:szCs w:val="22"/>
        </w:rPr>
        <w:t>“adequado, necessário e suficiente à contratação da operação de crédito”</w:t>
      </w:r>
      <w:r>
        <w:rPr>
          <w:rFonts w:ascii="Calibri" w:hAnsi="Calibri" w:cs="Calibri"/>
          <w:sz w:val="22"/>
          <w:szCs w:val="22"/>
        </w:rPr>
        <w:t xml:space="preserve"> (Cláusula 9ª), e o que o Distrito Federal busca é a sua implementação.</w:t>
      </w:r>
    </w:p>
    <w:p w14:paraId="3DBBE03B" w14:textId="77777777" w:rsidR="00E976D5" w:rsidRDefault="00E976D5">
      <w:pPr>
        <w:pStyle w:val="Corpodetexto"/>
        <w:spacing w:after="0" w:line="360" w:lineRule="auto"/>
        <w:rPr>
          <w:rFonts w:ascii="Calibri" w:hAnsi="Calibri" w:cs="Calibri"/>
          <w:sz w:val="22"/>
          <w:szCs w:val="22"/>
        </w:rPr>
      </w:pPr>
    </w:p>
    <w:p w14:paraId="6D396FDE" w14:textId="77777777" w:rsidR="00E976D5" w:rsidRDefault="00000000">
      <w:pPr>
        <w:pStyle w:val="Ttulo1"/>
        <w:pBdr>
          <w:top w:val="single" w:sz="4" w:space="1" w:color="auto"/>
          <w:left w:val="single" w:sz="4" w:space="4" w:color="auto"/>
          <w:bottom w:val="single" w:sz="4" w:space="1" w:color="auto"/>
          <w:right w:val="single" w:sz="4" w:space="4" w:color="auto"/>
        </w:pBdr>
        <w:spacing w:before="0" w:after="0" w:line="360" w:lineRule="auto"/>
        <w:jc w:val="center"/>
        <w:rPr>
          <w:rFonts w:ascii="Calibri" w:hAnsi="Calibri" w:cs="Calibri"/>
          <w:sz w:val="22"/>
          <w:szCs w:val="22"/>
        </w:rPr>
      </w:pPr>
      <w:r>
        <w:rPr>
          <w:rFonts w:ascii="Calibri" w:hAnsi="Calibri" w:cs="Calibri"/>
          <w:color w:val="auto"/>
          <w:sz w:val="22"/>
          <w:szCs w:val="22"/>
        </w:rPr>
        <w:lastRenderedPageBreak/>
        <w:t>III. DO PEDIDO</w:t>
      </w:r>
    </w:p>
    <w:p w14:paraId="4F858784" w14:textId="77777777" w:rsidR="00E976D5" w:rsidRDefault="00E976D5">
      <w:pPr>
        <w:pStyle w:val="Corpodetexto"/>
        <w:keepNext/>
        <w:spacing w:after="0" w:line="360" w:lineRule="auto"/>
        <w:rPr>
          <w:rFonts w:ascii="Calibri" w:hAnsi="Calibri" w:cs="Calibri"/>
          <w:sz w:val="22"/>
          <w:szCs w:val="22"/>
        </w:rPr>
      </w:pPr>
    </w:p>
    <w:p w14:paraId="50ACB422" w14:textId="77777777" w:rsidR="00E976D5" w:rsidRDefault="00000000">
      <w:pPr>
        <w:pStyle w:val="Corpodetexto"/>
        <w:keepNext/>
        <w:numPr>
          <w:ilvl w:val="0"/>
          <w:numId w:val="15"/>
        </w:numPr>
        <w:spacing w:after="0" w:line="360" w:lineRule="auto"/>
        <w:ind w:left="0" w:firstLine="0"/>
        <w:rPr>
          <w:rFonts w:ascii="Calibri" w:hAnsi="Calibri" w:cs="Calibri"/>
          <w:sz w:val="22"/>
          <w:szCs w:val="22"/>
        </w:rPr>
      </w:pPr>
      <w:r>
        <w:rPr>
          <w:rFonts w:ascii="Calibri" w:hAnsi="Calibri" w:cs="Calibri"/>
          <w:sz w:val="22"/>
          <w:szCs w:val="22"/>
        </w:rPr>
        <w:t>Ante o exposto, o Distrito Federal:</w:t>
      </w:r>
    </w:p>
    <w:p w14:paraId="0C876CBF" w14:textId="77777777" w:rsidR="00E976D5" w:rsidRDefault="00E976D5">
      <w:pPr>
        <w:pStyle w:val="Corpodetexto"/>
        <w:keepNext/>
        <w:spacing w:after="0" w:line="276" w:lineRule="auto"/>
        <w:rPr>
          <w:rFonts w:ascii="Calibri" w:hAnsi="Calibri" w:cs="Calibri"/>
          <w:sz w:val="22"/>
          <w:szCs w:val="22"/>
        </w:rPr>
      </w:pPr>
    </w:p>
    <w:p w14:paraId="4263A08C" w14:textId="105E75A5" w:rsidR="00E976D5" w:rsidRDefault="00000000">
      <w:pPr>
        <w:pStyle w:val="Corpodetexto"/>
        <w:keepNext/>
        <w:keepLines/>
        <w:pBdr>
          <w:left w:val="single" w:sz="4" w:space="4" w:color="auto"/>
        </w:pBdr>
        <w:spacing w:after="0" w:line="276" w:lineRule="auto"/>
        <w:ind w:left="567"/>
        <w:rPr>
          <w:rFonts w:ascii="Calibri" w:hAnsi="Calibri" w:cs="Calibri"/>
          <w:sz w:val="22"/>
          <w:szCs w:val="22"/>
        </w:rPr>
      </w:pPr>
      <w:r>
        <w:rPr>
          <w:rFonts w:ascii="Calibri" w:hAnsi="Calibri" w:cs="Calibri"/>
          <w:b/>
          <w:bCs/>
          <w:sz w:val="22"/>
          <w:szCs w:val="22"/>
        </w:rPr>
        <w:t>a)</w:t>
      </w:r>
      <w:r>
        <w:rPr>
          <w:rFonts w:ascii="Calibri" w:hAnsi="Calibri" w:cs="Calibri"/>
          <w:sz w:val="22"/>
          <w:szCs w:val="22"/>
        </w:rPr>
        <w:t xml:space="preserve"> requer a juntada desta petição e dos documentos que a acompanham (Docs. 1 a 3);</w:t>
      </w:r>
    </w:p>
    <w:p w14:paraId="0312E771" w14:textId="77777777" w:rsidR="00E976D5" w:rsidRDefault="00E976D5">
      <w:pPr>
        <w:pStyle w:val="Corpodetexto"/>
        <w:keepNext/>
        <w:spacing w:after="0" w:line="276" w:lineRule="auto"/>
        <w:rPr>
          <w:rFonts w:ascii="Calibri" w:hAnsi="Calibri" w:cs="Calibri"/>
          <w:sz w:val="22"/>
          <w:szCs w:val="22"/>
        </w:rPr>
      </w:pPr>
    </w:p>
    <w:p w14:paraId="07457F98" w14:textId="77777777" w:rsidR="00E976D5" w:rsidRDefault="00000000">
      <w:pPr>
        <w:pStyle w:val="Corpodetexto"/>
        <w:keepLines/>
        <w:pBdr>
          <w:left w:val="single" w:sz="4" w:space="4" w:color="auto"/>
        </w:pBdr>
        <w:spacing w:after="0" w:line="276" w:lineRule="auto"/>
        <w:ind w:left="567"/>
        <w:rPr>
          <w:rFonts w:ascii="Calibri" w:hAnsi="Calibri" w:cs="Calibri"/>
          <w:sz w:val="22"/>
          <w:szCs w:val="22"/>
        </w:rPr>
      </w:pPr>
      <w:r>
        <w:rPr>
          <w:rFonts w:ascii="Calibri" w:hAnsi="Calibri" w:cs="Calibri"/>
          <w:b/>
          <w:bCs/>
          <w:sz w:val="22"/>
          <w:szCs w:val="22"/>
        </w:rPr>
        <w:t>b)</w:t>
      </w:r>
      <w:r>
        <w:rPr>
          <w:rFonts w:ascii="Calibri" w:hAnsi="Calibri" w:cs="Calibri"/>
          <w:sz w:val="22"/>
          <w:szCs w:val="22"/>
        </w:rPr>
        <w:t xml:space="preserve"> requer que o fato superveniente seja considerado no exame dos pedidos formulados na petição inicial; e</w:t>
      </w:r>
    </w:p>
    <w:p w14:paraId="0312E771" w14:textId="77777777" w:rsidR="00E976D5" w:rsidRDefault="00E976D5">
      <w:pPr>
        <w:pStyle w:val="Corpodetexto"/>
        <w:keepNext/>
        <w:spacing w:after="0" w:line="276" w:lineRule="auto"/>
        <w:rPr>
          <w:rFonts w:ascii="Calibri" w:hAnsi="Calibri" w:cs="Calibri"/>
          <w:sz w:val="22"/>
          <w:szCs w:val="22"/>
        </w:rPr>
      </w:pPr>
    </w:p>
    <w:p w:rsidR="00E976D5" w:rsidRDefault="00000000">
      <w:pPr>
        <w:pStyle w:val="Corpodetexto"/>
        <w:keepLines/>
        <w:pBdr>
          <w:left w:val="single" w:sz="4" w:space="4" w:color="auto"/>
        </w:pBdr>
        <w:spacing w:after="0" w:line="276" w:lineRule="auto"/>
        <w:ind w:left="567"/>
        <w:rPr>
          <w:rFonts w:ascii="Calibri" w:hAnsi="Calibri" w:cs="Calibri"/>
          <w:sz w:val="22"/>
          <w:szCs w:val="22"/>
        </w:rPr>
      </w:pPr>
      <w:r>
        <w:rPr>
          <w:rFonts w:ascii="Calibri" w:hAnsi="Calibri" w:cs="Calibri"/>
          <w:b/>
          <w:bCs/>
          <w:sz w:val="22"/>
          <w:szCs w:val="22"/>
        </w:rPr>
        <w:t>c)</w:t>
      </w:r>
      <w:r>
        <w:rPr>
          <w:rFonts w:ascii="Calibri" w:hAnsi="Calibri" w:cs="Calibri"/>
          <w:sz w:val="22"/>
          <w:szCs w:val="22"/>
        </w:rPr>
        <w:t xml:space="preserve"> requer seja dada vista à Procuradoria-Geral da República, na condição de </w:t>
      </w:r>
      <w:r>
        <w:rPr>
          <w:rFonts w:ascii="Calibri" w:hAnsi="Calibri" w:cs="Calibri"/>
          <w:i/>
          <w:iCs/>
          <w:sz w:val="22"/>
          <w:szCs w:val="22"/>
        </w:rPr>
        <w:t>custos legis</w:t>
      </w:r>
      <w:r>
        <w:rPr>
          <w:rFonts w:ascii="Calibri" w:hAnsi="Calibri" w:cs="Calibri"/>
          <w:sz w:val="22"/>
          <w:szCs w:val="22"/>
        </w:rPr>
        <w:t>, para manifestação sobre o fato superveniente.</w:t>
      </w:r>
    </w:p>
    <w:p w14:paraId="103C9DC6" w14:textId="77777777" w:rsidR="00E976D5" w:rsidRDefault="00E976D5">
      <w:pPr>
        <w:pStyle w:val="Corpodetexto"/>
        <w:spacing w:after="0" w:line="360" w:lineRule="auto"/>
        <w:rPr>
          <w:rFonts w:ascii="Calibri" w:hAnsi="Calibri" w:cs="Calibri"/>
          <w:sz w:val="22"/>
          <w:szCs w:val="22"/>
        </w:rPr>
      </w:pPr>
    </w:p>
    <w:p w14:paraId="007D7E34" w14:textId="77777777" w:rsidR="00E976D5" w:rsidRDefault="00000000">
      <w:pPr>
        <w:pStyle w:val="Corpodetexto"/>
        <w:keepNext/>
        <w:spacing w:after="0" w:line="276" w:lineRule="auto"/>
        <w:jc w:val="center"/>
        <w:rPr>
          <w:rFonts w:ascii="Calibri" w:hAnsi="Calibri" w:cs="Calibri"/>
          <w:sz w:val="22"/>
          <w:szCs w:val="22"/>
        </w:rPr>
      </w:pPr>
      <w:r>
        <w:rPr>
          <w:rFonts w:ascii="Calibri" w:hAnsi="Calibri" w:cs="Calibri"/>
          <w:sz w:val="22"/>
          <w:szCs w:val="22"/>
        </w:rPr>
        <w:t>Nestes termos,</w:t>
      </w:r>
    </w:p>
    <w:p w14:paraId="695F4DD8" w14:textId="77777777" w:rsidR="00E976D5" w:rsidRDefault="00000000">
      <w:pPr>
        <w:pStyle w:val="Corpodetexto"/>
        <w:keepNext/>
        <w:spacing w:after="0" w:line="276" w:lineRule="auto"/>
        <w:jc w:val="center"/>
        <w:rPr>
          <w:rFonts w:ascii="Calibri" w:hAnsi="Calibri" w:cs="Calibri"/>
          <w:sz w:val="22"/>
          <w:szCs w:val="22"/>
        </w:rPr>
      </w:pPr>
      <w:r>
        <w:rPr>
          <w:rFonts w:ascii="Calibri" w:hAnsi="Calibri" w:cs="Calibri"/>
          <w:sz w:val="22"/>
          <w:szCs w:val="22"/>
        </w:rPr>
        <w:t>pede deferimento.</w:t>
      </w:r>
    </w:p>
    <w:p w14:paraId="083A3B77" w14:textId="77777777" w:rsidR="00E976D5" w:rsidRDefault="00E976D5">
      <w:pPr>
        <w:pStyle w:val="Corpodetexto"/>
        <w:keepNext/>
        <w:spacing w:after="0" w:line="276" w:lineRule="auto"/>
        <w:rPr>
          <w:rFonts w:ascii="Calibri" w:hAnsi="Calibri" w:cs="Calibri"/>
          <w:sz w:val="22"/>
          <w:szCs w:val="22"/>
        </w:rPr>
      </w:pPr>
    </w:p>
    <w:p w14:paraId="3D07FF59" w14:textId="77777777" w:rsidR="00E976D5" w:rsidRDefault="00000000">
      <w:pPr>
        <w:pStyle w:val="Corpodetexto"/>
        <w:keepNext/>
        <w:spacing w:after="0" w:line="276" w:lineRule="auto"/>
        <w:jc w:val="center"/>
        <w:rPr>
          <w:rFonts w:ascii="Calibri" w:hAnsi="Calibri" w:cs="Calibri"/>
          <w:sz w:val="22"/>
          <w:szCs w:val="22"/>
        </w:rPr>
      </w:pPr>
      <w:r>
        <w:rPr>
          <w:rFonts w:ascii="Calibri" w:hAnsi="Calibri" w:cs="Calibri"/>
          <w:sz w:val="22"/>
          <w:szCs w:val="22"/>
        </w:rPr>
        <w:t>Brasília/DF, 17/09/2026.</w:t>
      </w:r>
    </w:p>
    <w:p w14:paraId="76DBDF3B" w14:textId="77777777" w:rsidR="00E976D5" w:rsidRDefault="00E976D5">
      <w:pPr>
        <w:pStyle w:val="Corpodetexto"/>
        <w:keepNext/>
        <w:spacing w:after="0" w:line="276" w:lineRule="auto"/>
        <w:rPr>
          <w:rFonts w:ascii="Calibri" w:hAnsi="Calibri" w:cs="Calibri"/>
          <w:sz w:val="22"/>
          <w:szCs w:val="22"/>
        </w:rPr>
      </w:pPr>
    </w:p>
    <w:p w14:paraId="6C0FDBD5" w14:textId="77777777" w:rsidR="00E976D5" w:rsidRDefault="00E976D5">
      <w:pPr>
        <w:pStyle w:val="Corpodetexto"/>
        <w:keepNext/>
        <w:spacing w:after="0" w:line="276" w:lineRule="auto"/>
        <w:rPr>
          <w:rFonts w:ascii="Calibri" w:hAnsi="Calibri" w:cs="Calibri"/>
          <w:sz w:val="22"/>
          <w:szCs w:val="22"/>
        </w:rPr>
      </w:pPr>
    </w:p>
    <w:p w14:paraId="37716EE5" w14:textId="77777777" w:rsidR="00E976D5" w:rsidRDefault="00000000">
      <w:pPr>
        <w:pStyle w:val="Corpodetexto"/>
        <w:keepNext/>
        <w:spacing w:after="0" w:line="276" w:lineRule="auto"/>
        <w:jc w:val="center"/>
        <w:rPr>
          <w:rFonts w:ascii="Calibri" w:hAnsi="Calibri" w:cs="Calibri"/>
          <w:sz w:val="22"/>
          <w:szCs w:val="22"/>
        </w:rPr>
      </w:pPr>
      <w:r>
        <w:rPr>
          <w:rFonts w:ascii="Calibri" w:hAnsi="Calibri" w:cs="Calibri"/>
          <w:b/>
          <w:bCs/>
          <w:sz w:val="22"/>
          <w:szCs w:val="22"/>
        </w:rPr>
        <w:t>DIANA DE ALMEIDA RAMOS</w:t>
      </w:r>
    </w:p>
    <w:p w14:paraId="15B80C0E" w14:textId="77777777" w:rsidR="00E976D5" w:rsidRDefault="00000000">
      <w:pPr>
        <w:pStyle w:val="Corpodetexto"/>
        <w:keepNext/>
        <w:spacing w:after="0" w:line="276" w:lineRule="auto"/>
        <w:jc w:val="center"/>
        <w:rPr>
          <w:rFonts w:ascii="Calibri" w:hAnsi="Calibri" w:cs="Calibri"/>
          <w:sz w:val="22"/>
          <w:szCs w:val="22"/>
        </w:rPr>
      </w:pPr>
      <w:r>
        <w:rPr>
          <w:rFonts w:ascii="Calibri" w:hAnsi="Calibri" w:cs="Calibri"/>
          <w:sz w:val="22"/>
          <w:szCs w:val="22"/>
        </w:rPr>
        <w:t>Procuradora-Geral do Distrito Federal</w:t>
      </w:r>
    </w:p>
    <w:p w14:paraId="50B325CA" w14:textId="77777777" w:rsidR="00E976D5" w:rsidRDefault="00000000">
      <w:pPr>
        <w:pStyle w:val="Corpodetexto"/>
        <w:keepNext/>
        <w:spacing w:after="0" w:line="276" w:lineRule="auto"/>
        <w:jc w:val="center"/>
        <w:rPr>
          <w:rFonts w:ascii="Calibri" w:hAnsi="Calibri" w:cs="Calibri"/>
          <w:sz w:val="22"/>
          <w:szCs w:val="22"/>
        </w:rPr>
      </w:pPr>
      <w:r>
        <w:rPr>
          <w:rFonts w:ascii="Calibri" w:hAnsi="Calibri" w:cs="Calibri"/>
          <w:sz w:val="22"/>
          <w:szCs w:val="22"/>
        </w:rPr>
        <w:t>OAB/DF 8.204</w:t>
      </w:r>
    </w:p>
    <w:p w14:paraId="03BD92C6" w14:textId="77777777" w:rsidR="00E976D5" w:rsidRDefault="00E976D5">
      <w:pPr>
        <w:pStyle w:val="Corpodetexto"/>
        <w:keepNext/>
        <w:spacing w:after="0" w:line="276" w:lineRule="auto"/>
        <w:rPr>
          <w:rFonts w:ascii="Calibri" w:hAnsi="Calibri" w:cs="Calibri"/>
          <w:sz w:val="22"/>
          <w:szCs w:val="22"/>
        </w:rPr>
      </w:pPr>
    </w:p>
    <w:p w14:paraId="1AB467FC" w14:textId="77777777" w:rsidR="00E976D5" w:rsidRDefault="00000000">
      <w:pPr>
        <w:pStyle w:val="Corpodetexto"/>
        <w:keepNext/>
        <w:spacing w:after="0" w:line="276" w:lineRule="auto"/>
        <w:jc w:val="center"/>
        <w:rPr>
          <w:rFonts w:ascii="Calibri" w:hAnsi="Calibri" w:cs="Calibri"/>
          <w:sz w:val="22"/>
          <w:szCs w:val="22"/>
        </w:rPr>
      </w:pPr>
      <w:r>
        <w:rPr>
          <w:rFonts w:ascii="Calibri" w:hAnsi="Calibri" w:cs="Calibri"/>
          <w:b/>
          <w:bCs/>
          <w:sz w:val="22"/>
          <w:szCs w:val="22"/>
        </w:rPr>
        <w:t>MARCOS DE ARAÚJO CAVALCANTI</w:t>
      </w:r>
    </w:p>
    <w:p w14:paraId="1605EEEA" w14:textId="77777777" w:rsidR="00E976D5" w:rsidRDefault="00000000">
      <w:pPr>
        <w:pStyle w:val="Corpodetexto"/>
        <w:keepNext/>
        <w:spacing w:after="0" w:line="276" w:lineRule="auto"/>
        <w:jc w:val="center"/>
        <w:rPr>
          <w:rFonts w:ascii="Calibri" w:hAnsi="Calibri" w:cs="Calibri"/>
          <w:sz w:val="22"/>
          <w:szCs w:val="22"/>
        </w:rPr>
      </w:pPr>
      <w:r>
        <w:rPr>
          <w:rFonts w:ascii="Calibri" w:hAnsi="Calibri" w:cs="Calibri"/>
          <w:sz w:val="22"/>
          <w:szCs w:val="22"/>
        </w:rPr>
        <w:t>Procurador do Distrito Federal</w:t>
      </w:r>
    </w:p>
    <w:p w14:paraId="7CAB3B9B" w14:textId="77777777" w:rsidR="00E976D5" w:rsidRDefault="00000000">
      <w:pPr>
        <w:pStyle w:val="Corpodetexto"/>
        <w:spacing w:after="0" w:line="276" w:lineRule="auto"/>
        <w:jc w:val="center"/>
        <w:rPr>
          <w:rFonts w:ascii="Calibri" w:hAnsi="Calibri" w:cs="Calibri"/>
          <w:sz w:val="22"/>
          <w:szCs w:val="22"/>
        </w:rPr>
      </w:pPr>
      <w:r>
        <w:rPr>
          <w:rFonts w:ascii="Calibri" w:hAnsi="Calibri" w:cs="Calibri"/>
          <w:sz w:val="22"/>
          <w:szCs w:val="22"/>
        </w:rPr>
        <w:t>OAB/DF 28.560</w:t>
      </w:r>
    </w:p>
    <w:sectPr w:rsidR="00E976D5">
      <w:headerReference w:type="even" r:id="rId12"/>
      <w:headerReference w:type="default" r:id="rId13"/>
      <w:footerReference w:type="even" r:id="rId14"/>
      <w:footerReference w:type="default" r:id="rId15"/>
      <w:headerReference w:type="first" r:id="rId16"/>
      <w:footerReference w:type="first" r:id="rId17"/>
      <w:pgSz w:w="12240" w:h="15840"/>
      <w:pgMar w:top="1417"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910D1" w14:textId="77777777" w:rsidR="004D11FA" w:rsidRDefault="004D11FA" w:rsidP="00563E69">
      <w:r>
        <w:separator/>
      </w:r>
    </w:p>
  </w:endnote>
  <w:endnote w:type="continuationSeparator" w:id="0">
    <w:p w14:paraId="4EFC6F65" w14:textId="77777777" w:rsidR="004D11FA" w:rsidRDefault="004D11FA" w:rsidP="00563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008F2" w14:textId="77777777" w:rsidR="00205910" w:rsidRDefault="0020591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5691217"/>
      <w:docPartObj>
        <w:docPartGallery w:val="Page Numbers (Bottom of Page)"/>
        <w:docPartUnique/>
      </w:docPartObj>
    </w:sdtPr>
    <w:sdtContent>
      <w:p w14:paraId="04B0D63C" w14:textId="77777777" w:rsidR="004E27FC" w:rsidRDefault="004E27FC">
        <w:pPr>
          <w:pStyle w:val="Rodap"/>
          <w:jc w:val="right"/>
        </w:pPr>
        <w:r>
          <w:fldChar w:fldCharType="begin"/>
        </w:r>
        <w:r>
          <w:instrText>PAGE   \* MERGEFORMAT</w:instrText>
        </w:r>
        <w:r>
          <w:fldChar w:fldCharType="separate"/>
        </w:r>
        <w:r>
          <w:t>2</w:t>
        </w:r>
        <w:r>
          <w:fldChar w:fldCharType="end"/>
        </w:r>
      </w:p>
    </w:sdtContent>
  </w:sdt>
  <w:p w14:paraId="0F1765D6" w14:textId="77777777" w:rsidR="004E27FC" w:rsidRDefault="004E27FC">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1505B" w14:textId="77777777" w:rsidR="00205910" w:rsidRDefault="0020591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F918C" w14:textId="77777777" w:rsidR="004D11FA" w:rsidRDefault="004D11FA" w:rsidP="00563E69">
      <w:r>
        <w:separator/>
      </w:r>
    </w:p>
  </w:footnote>
  <w:footnote w:type="continuationSeparator" w:id="0">
    <w:p w14:paraId="565AE013" w14:textId="77777777" w:rsidR="004D11FA" w:rsidRDefault="004D11FA" w:rsidP="00563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B4BF9" w14:textId="77777777" w:rsidR="00205910" w:rsidRDefault="00205910">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35"/>
      <w:gridCol w:w="5845"/>
      <w:gridCol w:w="1440"/>
    </w:tblGrid>
    <w:tr w:rsidR="00563E69" w14:paraId="4FE8C7FF" w14:textId="77777777" w:rsidTr="000620E8">
      <w:trPr>
        <w:trHeight w:val="1417"/>
      </w:trPr>
      <w:tc>
        <w:tcPr>
          <w:tcW w:w="1310" w:type="dxa"/>
          <w:tcBorders>
            <w:top w:val="nil"/>
            <w:left w:val="nil"/>
            <w:bottom w:val="single" w:sz="4" w:space="0" w:color="000000"/>
            <w:right w:val="nil"/>
          </w:tcBorders>
          <w:tcMar>
            <w:top w:w="40" w:type="dxa"/>
            <w:left w:w="60" w:type="dxa"/>
            <w:bottom w:w="40" w:type="dxa"/>
            <w:right w:w="60" w:type="dxa"/>
          </w:tcMar>
        </w:tcPr>
        <w:p w14:paraId="4A746F08" w14:textId="77777777" w:rsidR="00563E69" w:rsidRPr="00B00F08" w:rsidRDefault="00563E69" w:rsidP="00563E69">
          <w:r w:rsidRPr="00B00F08">
            <w:rPr>
              <w:noProof/>
            </w:rPr>
            <w:drawing>
              <wp:inline distT="0" distB="0" distL="0" distR="0" wp14:anchorId="4778DA5E" wp14:editId="025E1F72">
                <wp:extent cx="771525" cy="9144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71525" cy="914400"/>
                        </a:xfrm>
                        <a:prstGeom prst="rect">
                          <a:avLst/>
                        </a:prstGeom>
                      </pic:spPr>
                    </pic:pic>
                  </a:graphicData>
                </a:graphic>
              </wp:inline>
            </w:drawing>
          </w:r>
        </w:p>
      </w:tc>
      <w:tc>
        <w:tcPr>
          <w:tcW w:w="5960" w:type="dxa"/>
          <w:tcBorders>
            <w:top w:val="nil"/>
            <w:left w:val="nil"/>
            <w:bottom w:val="single" w:sz="4" w:space="0" w:color="000000"/>
            <w:right w:val="nil"/>
          </w:tcBorders>
          <w:tcMar>
            <w:top w:w="40" w:type="dxa"/>
            <w:left w:w="60" w:type="dxa"/>
            <w:bottom w:w="40" w:type="dxa"/>
            <w:right w:w="60" w:type="dxa"/>
          </w:tcMar>
          <w:vAlign w:val="center"/>
        </w:tcPr>
        <w:p w14:paraId="6FD45208" w14:textId="77777777" w:rsidR="00563E69" w:rsidRPr="00563E69" w:rsidRDefault="00563E69" w:rsidP="00563E69">
          <w:pPr>
            <w:rPr>
              <w:sz w:val="20"/>
              <w:szCs w:val="20"/>
            </w:rPr>
          </w:pPr>
          <w:r w:rsidRPr="00563E69">
            <w:rPr>
              <w:b/>
              <w:bCs/>
              <w:sz w:val="20"/>
              <w:szCs w:val="20"/>
            </w:rPr>
            <w:t>PROCURADORIA-GERAL DO DISTRITO FEDERAL</w:t>
          </w:r>
        </w:p>
        <w:p w14:paraId="3F5BEBBA" w14:textId="77777777" w:rsidR="00563E69" w:rsidRPr="00563E69" w:rsidRDefault="00563E69" w:rsidP="00563E69">
          <w:pPr>
            <w:rPr>
              <w:sz w:val="20"/>
              <w:szCs w:val="20"/>
            </w:rPr>
          </w:pPr>
          <w:r w:rsidRPr="00563E69">
            <w:rPr>
              <w:sz w:val="20"/>
              <w:szCs w:val="20"/>
            </w:rPr>
            <w:t>Procuradoria Especial de Tribunais Superiores e Demandas Estratégicas</w:t>
          </w:r>
        </w:p>
        <w:p w14:paraId="446F0AEC" w14:textId="77777777" w:rsidR="00563E69" w:rsidRPr="00563E69" w:rsidRDefault="00563E69" w:rsidP="00563E69">
          <w:pPr>
            <w:rPr>
              <w:sz w:val="20"/>
              <w:szCs w:val="20"/>
            </w:rPr>
          </w:pPr>
          <w:r w:rsidRPr="00563E69">
            <w:rPr>
              <w:sz w:val="20"/>
              <w:szCs w:val="20"/>
            </w:rPr>
            <w:t>PROSUP</w:t>
          </w:r>
        </w:p>
      </w:tc>
      <w:tc>
        <w:tcPr>
          <w:tcW w:w="1350" w:type="dxa"/>
          <w:tcBorders>
            <w:top w:val="nil"/>
            <w:left w:val="nil"/>
            <w:bottom w:val="single" w:sz="4" w:space="0" w:color="000000"/>
            <w:right w:val="nil"/>
          </w:tcBorders>
          <w:tcMar>
            <w:top w:w="40" w:type="dxa"/>
            <w:left w:w="60" w:type="dxa"/>
            <w:bottom w:w="40" w:type="dxa"/>
            <w:right w:w="60" w:type="dxa"/>
          </w:tcMar>
          <w:vAlign w:val="center"/>
        </w:tcPr>
        <w:p w14:paraId="7302DD18" w14:textId="77777777" w:rsidR="00563E69" w:rsidRDefault="00563E69" w:rsidP="00563E69">
          <w:pPr>
            <w:jc w:val="center"/>
          </w:pPr>
          <w:r>
            <w:rPr>
              <w:noProof/>
            </w:rPr>
            <w:drawing>
              <wp:inline distT="0" distB="0" distL="0" distR="0" wp14:anchorId="6FE8FCFA" wp14:editId="583DF53D">
                <wp:extent cx="838200" cy="800100"/>
                <wp:effectExtent l="0" t="0" r="0" b="0"/>
                <wp:docPr id="846933582" name="Imagem 846933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838200" cy="800100"/>
                        </a:xfrm>
                        <a:prstGeom prst="rect">
                          <a:avLst/>
                        </a:prstGeom>
                      </pic:spPr>
                    </pic:pic>
                  </a:graphicData>
                </a:graphic>
              </wp:inline>
            </w:drawing>
          </w:r>
        </w:p>
      </w:tc>
    </w:tr>
  </w:tbl>
  <w:p w14:paraId="304D593B" w14:textId="77777777" w:rsidR="00563E69" w:rsidRDefault="00563E69" w:rsidP="00563E69">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7A9D" w14:textId="77777777" w:rsidR="00205910" w:rsidRDefault="0020591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1304EF4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DC4E4F5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A604695C"/>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1E025B6D"/>
    <w:multiLevelType w:val="hybridMultilevel"/>
    <w:tmpl w:val="243431BA"/>
    <w:lvl w:ilvl="0" w:tplc="1FF0A1EC">
      <w:start w:val="1"/>
      <w:numFmt w:val="decimal"/>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C2A1511"/>
    <w:multiLevelType w:val="hybridMultilevel"/>
    <w:tmpl w:val="B84608E0"/>
    <w:lvl w:ilvl="0" w:tplc="1FF0A1EC">
      <w:start w:val="1"/>
      <w:numFmt w:val="decimal"/>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A7714AF"/>
    <w:multiLevelType w:val="hybridMultilevel"/>
    <w:tmpl w:val="85C6A4AA"/>
    <w:lvl w:ilvl="0" w:tplc="541AF020">
      <w:start w:val="1"/>
      <w:numFmt w:val="decimal"/>
      <w:lvlText w:val="%1."/>
      <w:lvlJc w:val="left"/>
      <w:pPr>
        <w:ind w:left="720" w:hanging="360"/>
      </w:pPr>
      <w:rPr>
        <w:rFonts w:ascii="Calibri" w:hAnsi="Calibri" w:cs="Calibri"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46633370">
    <w:abstractNumId w:val="0"/>
  </w:num>
  <w:num w:numId="2" w16cid:durableId="1813869146">
    <w:abstractNumId w:val="1"/>
  </w:num>
  <w:num w:numId="3" w16cid:durableId="316232007">
    <w:abstractNumId w:val="1"/>
  </w:num>
  <w:num w:numId="4" w16cid:durableId="1225721358">
    <w:abstractNumId w:val="1"/>
  </w:num>
  <w:num w:numId="5" w16cid:durableId="812521429">
    <w:abstractNumId w:val="1"/>
  </w:num>
  <w:num w:numId="6" w16cid:durableId="2144612711">
    <w:abstractNumId w:val="1"/>
  </w:num>
  <w:num w:numId="7" w16cid:durableId="1872960249">
    <w:abstractNumId w:val="1"/>
  </w:num>
  <w:num w:numId="8" w16cid:durableId="242640373">
    <w:abstractNumId w:val="1"/>
  </w:num>
  <w:num w:numId="9" w16cid:durableId="1765884624">
    <w:abstractNumId w:val="1"/>
  </w:num>
  <w:num w:numId="10" w16cid:durableId="851263800">
    <w:abstractNumId w:val="1"/>
  </w:num>
  <w:num w:numId="11" w16cid:durableId="395782087">
    <w:abstractNumId w:val="1"/>
  </w:num>
  <w:num w:numId="12" w16cid:durableId="6596932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7409465">
    <w:abstractNumId w:val="3"/>
  </w:num>
  <w:num w:numId="14" w16cid:durableId="1456634582">
    <w:abstractNumId w:val="4"/>
  </w:num>
  <w:num w:numId="15" w16cid:durableId="13787016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CC2"/>
    <w:rsid w:val="00001E01"/>
    <w:rsid w:val="000062F0"/>
    <w:rsid w:val="00015FC4"/>
    <w:rsid w:val="00032E22"/>
    <w:rsid w:val="000368E7"/>
    <w:rsid w:val="00047928"/>
    <w:rsid w:val="000539A5"/>
    <w:rsid w:val="00061794"/>
    <w:rsid w:val="000724F7"/>
    <w:rsid w:val="00086407"/>
    <w:rsid w:val="00086D38"/>
    <w:rsid w:val="00092796"/>
    <w:rsid w:val="000A0E9F"/>
    <w:rsid w:val="000A62CB"/>
    <w:rsid w:val="000C12FD"/>
    <w:rsid w:val="000C2EE1"/>
    <w:rsid w:val="000C35BF"/>
    <w:rsid w:val="000E1EB0"/>
    <w:rsid w:val="000F4BAA"/>
    <w:rsid w:val="00100D4A"/>
    <w:rsid w:val="00111872"/>
    <w:rsid w:val="00111E48"/>
    <w:rsid w:val="001153BC"/>
    <w:rsid w:val="001300BA"/>
    <w:rsid w:val="00130BF0"/>
    <w:rsid w:val="00134167"/>
    <w:rsid w:val="00143BE0"/>
    <w:rsid w:val="00147A2E"/>
    <w:rsid w:val="00156C35"/>
    <w:rsid w:val="0016399E"/>
    <w:rsid w:val="001768C2"/>
    <w:rsid w:val="00191189"/>
    <w:rsid w:val="00193380"/>
    <w:rsid w:val="00196C33"/>
    <w:rsid w:val="001B6C2F"/>
    <w:rsid w:val="001B6D2E"/>
    <w:rsid w:val="001E6AA2"/>
    <w:rsid w:val="001F128F"/>
    <w:rsid w:val="00202ACB"/>
    <w:rsid w:val="00205910"/>
    <w:rsid w:val="00223ACA"/>
    <w:rsid w:val="002509EF"/>
    <w:rsid w:val="00265932"/>
    <w:rsid w:val="00276727"/>
    <w:rsid w:val="0029604D"/>
    <w:rsid w:val="002B2ABA"/>
    <w:rsid w:val="002C2580"/>
    <w:rsid w:val="002D3EE6"/>
    <w:rsid w:val="002E2C33"/>
    <w:rsid w:val="00300BF8"/>
    <w:rsid w:val="00310CA8"/>
    <w:rsid w:val="00313B6A"/>
    <w:rsid w:val="00322E61"/>
    <w:rsid w:val="00333E5D"/>
    <w:rsid w:val="003427BD"/>
    <w:rsid w:val="003624CE"/>
    <w:rsid w:val="00364864"/>
    <w:rsid w:val="00367AB1"/>
    <w:rsid w:val="003A29E3"/>
    <w:rsid w:val="003B3A0F"/>
    <w:rsid w:val="003B6951"/>
    <w:rsid w:val="003C0DE1"/>
    <w:rsid w:val="003C550B"/>
    <w:rsid w:val="003D2287"/>
    <w:rsid w:val="003D4CC5"/>
    <w:rsid w:val="003D53A9"/>
    <w:rsid w:val="003E3A11"/>
    <w:rsid w:val="003E4364"/>
    <w:rsid w:val="003E488F"/>
    <w:rsid w:val="004149CF"/>
    <w:rsid w:val="00434C0A"/>
    <w:rsid w:val="00452044"/>
    <w:rsid w:val="00453879"/>
    <w:rsid w:val="00470D62"/>
    <w:rsid w:val="004712D6"/>
    <w:rsid w:val="00471CF5"/>
    <w:rsid w:val="00472B9B"/>
    <w:rsid w:val="00474D79"/>
    <w:rsid w:val="004830F1"/>
    <w:rsid w:val="004859D1"/>
    <w:rsid w:val="004A376C"/>
    <w:rsid w:val="004B2AE6"/>
    <w:rsid w:val="004C50A0"/>
    <w:rsid w:val="004D11FA"/>
    <w:rsid w:val="004E27FC"/>
    <w:rsid w:val="0050233E"/>
    <w:rsid w:val="0051669A"/>
    <w:rsid w:val="0052751B"/>
    <w:rsid w:val="005310C5"/>
    <w:rsid w:val="00535EEE"/>
    <w:rsid w:val="00547CFF"/>
    <w:rsid w:val="005512AD"/>
    <w:rsid w:val="005524DE"/>
    <w:rsid w:val="00563E69"/>
    <w:rsid w:val="005653FF"/>
    <w:rsid w:val="00567F95"/>
    <w:rsid w:val="00572DC0"/>
    <w:rsid w:val="0058079E"/>
    <w:rsid w:val="00580811"/>
    <w:rsid w:val="00590B03"/>
    <w:rsid w:val="005B6784"/>
    <w:rsid w:val="005C0FC0"/>
    <w:rsid w:val="005C17D5"/>
    <w:rsid w:val="005C2085"/>
    <w:rsid w:val="005C329C"/>
    <w:rsid w:val="005C4BE9"/>
    <w:rsid w:val="005E0D9C"/>
    <w:rsid w:val="005E6A62"/>
    <w:rsid w:val="005F7391"/>
    <w:rsid w:val="00604131"/>
    <w:rsid w:val="00604148"/>
    <w:rsid w:val="00614A03"/>
    <w:rsid w:val="00635933"/>
    <w:rsid w:val="0064635A"/>
    <w:rsid w:val="006503A9"/>
    <w:rsid w:val="00690534"/>
    <w:rsid w:val="006978B8"/>
    <w:rsid w:val="006A0B07"/>
    <w:rsid w:val="006A6868"/>
    <w:rsid w:val="006B541D"/>
    <w:rsid w:val="006C2430"/>
    <w:rsid w:val="006E67BB"/>
    <w:rsid w:val="006F4F84"/>
    <w:rsid w:val="006F6BD3"/>
    <w:rsid w:val="00712448"/>
    <w:rsid w:val="00721DAC"/>
    <w:rsid w:val="00733C6E"/>
    <w:rsid w:val="00741918"/>
    <w:rsid w:val="00751E2A"/>
    <w:rsid w:val="00752709"/>
    <w:rsid w:val="00765704"/>
    <w:rsid w:val="00793CC2"/>
    <w:rsid w:val="007C7310"/>
    <w:rsid w:val="007C7D54"/>
    <w:rsid w:val="007F30BD"/>
    <w:rsid w:val="007F71D3"/>
    <w:rsid w:val="00803DC7"/>
    <w:rsid w:val="0080515A"/>
    <w:rsid w:val="00842BA1"/>
    <w:rsid w:val="00856332"/>
    <w:rsid w:val="008573A5"/>
    <w:rsid w:val="00863BF0"/>
    <w:rsid w:val="008660D2"/>
    <w:rsid w:val="00882E47"/>
    <w:rsid w:val="00887310"/>
    <w:rsid w:val="008A2145"/>
    <w:rsid w:val="008A4389"/>
    <w:rsid w:val="008B0117"/>
    <w:rsid w:val="008C45B5"/>
    <w:rsid w:val="008D3392"/>
    <w:rsid w:val="008D6A62"/>
    <w:rsid w:val="008E6778"/>
    <w:rsid w:val="00915603"/>
    <w:rsid w:val="009314E6"/>
    <w:rsid w:val="0093465A"/>
    <w:rsid w:val="009358D9"/>
    <w:rsid w:val="009400C4"/>
    <w:rsid w:val="009B4BC2"/>
    <w:rsid w:val="009B5F7A"/>
    <w:rsid w:val="009D3777"/>
    <w:rsid w:val="00A056EE"/>
    <w:rsid w:val="00A13079"/>
    <w:rsid w:val="00A303C1"/>
    <w:rsid w:val="00A308CD"/>
    <w:rsid w:val="00A325DE"/>
    <w:rsid w:val="00A34A2B"/>
    <w:rsid w:val="00A66B13"/>
    <w:rsid w:val="00A80793"/>
    <w:rsid w:val="00A81CC2"/>
    <w:rsid w:val="00A84A3E"/>
    <w:rsid w:val="00AB36DA"/>
    <w:rsid w:val="00AC092C"/>
    <w:rsid w:val="00AC1120"/>
    <w:rsid w:val="00AC3379"/>
    <w:rsid w:val="00AC5E4E"/>
    <w:rsid w:val="00AC6B78"/>
    <w:rsid w:val="00AE325C"/>
    <w:rsid w:val="00AF4EA9"/>
    <w:rsid w:val="00AF63D8"/>
    <w:rsid w:val="00B225AF"/>
    <w:rsid w:val="00B33CEA"/>
    <w:rsid w:val="00B55E7C"/>
    <w:rsid w:val="00B607DE"/>
    <w:rsid w:val="00B65A4A"/>
    <w:rsid w:val="00B8761E"/>
    <w:rsid w:val="00B92D71"/>
    <w:rsid w:val="00BA19ED"/>
    <w:rsid w:val="00BA5111"/>
    <w:rsid w:val="00BB78E8"/>
    <w:rsid w:val="00BD135C"/>
    <w:rsid w:val="00BE0BB0"/>
    <w:rsid w:val="00BE323A"/>
    <w:rsid w:val="00BE33AE"/>
    <w:rsid w:val="00BE5964"/>
    <w:rsid w:val="00BF0324"/>
    <w:rsid w:val="00C062E9"/>
    <w:rsid w:val="00C06390"/>
    <w:rsid w:val="00C238C7"/>
    <w:rsid w:val="00C24763"/>
    <w:rsid w:val="00C3189F"/>
    <w:rsid w:val="00C41C69"/>
    <w:rsid w:val="00C62E50"/>
    <w:rsid w:val="00C731B8"/>
    <w:rsid w:val="00C80B9A"/>
    <w:rsid w:val="00C85915"/>
    <w:rsid w:val="00C92070"/>
    <w:rsid w:val="00C94269"/>
    <w:rsid w:val="00C95BE3"/>
    <w:rsid w:val="00CA0806"/>
    <w:rsid w:val="00CA48B0"/>
    <w:rsid w:val="00CB3640"/>
    <w:rsid w:val="00CB617C"/>
    <w:rsid w:val="00CC5BB4"/>
    <w:rsid w:val="00CC629B"/>
    <w:rsid w:val="00CF0569"/>
    <w:rsid w:val="00CF1B0B"/>
    <w:rsid w:val="00CF3C1E"/>
    <w:rsid w:val="00D07995"/>
    <w:rsid w:val="00D178C3"/>
    <w:rsid w:val="00D218B4"/>
    <w:rsid w:val="00D2199B"/>
    <w:rsid w:val="00D31316"/>
    <w:rsid w:val="00D33AFC"/>
    <w:rsid w:val="00D36E25"/>
    <w:rsid w:val="00D401C9"/>
    <w:rsid w:val="00D52D2F"/>
    <w:rsid w:val="00D618AB"/>
    <w:rsid w:val="00D72030"/>
    <w:rsid w:val="00D73946"/>
    <w:rsid w:val="00D77356"/>
    <w:rsid w:val="00D854C7"/>
    <w:rsid w:val="00DA4F60"/>
    <w:rsid w:val="00DB01E0"/>
    <w:rsid w:val="00DB18D5"/>
    <w:rsid w:val="00DC0130"/>
    <w:rsid w:val="00DC13ED"/>
    <w:rsid w:val="00DC53AD"/>
    <w:rsid w:val="00DE11B4"/>
    <w:rsid w:val="00DF1154"/>
    <w:rsid w:val="00DF727A"/>
    <w:rsid w:val="00E06EC0"/>
    <w:rsid w:val="00E10626"/>
    <w:rsid w:val="00E13A8D"/>
    <w:rsid w:val="00E41E4E"/>
    <w:rsid w:val="00E44581"/>
    <w:rsid w:val="00E54BED"/>
    <w:rsid w:val="00E55F1F"/>
    <w:rsid w:val="00E735F1"/>
    <w:rsid w:val="00E80EE5"/>
    <w:rsid w:val="00E94B5C"/>
    <w:rsid w:val="00E976D5"/>
    <w:rsid w:val="00EA6E99"/>
    <w:rsid w:val="00EC6F80"/>
    <w:rsid w:val="00ED045F"/>
    <w:rsid w:val="00ED2F05"/>
    <w:rsid w:val="00EF0273"/>
    <w:rsid w:val="00F077DE"/>
    <w:rsid w:val="00F12233"/>
    <w:rsid w:val="00F256EF"/>
    <w:rsid w:val="00F3445B"/>
    <w:rsid w:val="00F34A16"/>
    <w:rsid w:val="00F4031E"/>
    <w:rsid w:val="00F449A1"/>
    <w:rsid w:val="00F46A26"/>
    <w:rsid w:val="00F964B7"/>
    <w:rsid w:val="00F9739D"/>
    <w:rsid w:val="00FA231A"/>
    <w:rsid w:val="00FA52AD"/>
    <w:rsid w:val="00FC1CF9"/>
    <w:rsid w:val="00FC5164"/>
    <w:rsid w:val="00FE4996"/>
    <w:rsid w:val="00FE4EB7"/>
    <w:rsid w:val="00FE5D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991C7"/>
  <w15:docId w15:val="{E009EDF1-5694-4DE9-9750-F5A374E9F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BR" w:eastAsia="en-US" w:bidi="ar-SA"/>
      </w:rPr>
    </w:rPrDefault>
    <w:pPrDefault/>
  </w:docDefaults>
  <w:latentStyles w:defLockedState="0" w:defUIPriority="0" w:defSemiHidden="0" w:defUnhideWhenUsed="0" w:defQFormat="0" w:count="376">
    <w:lsdException w:name="header" w:uiPriority="99"/>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Corpodetexto"/>
    <w:uiPriority w:val="9"/>
    <w:qFormat/>
    <w:pPr>
      <w:keepNext/>
      <w:keepLines/>
      <w:spacing w:before="240" w:after="80" w:line="264" w:lineRule="auto"/>
      <w:outlineLvl w:val="0"/>
    </w:pPr>
    <w:rPr>
      <w:b/>
      <w:bCs/>
      <w:color w:val="4F81BD" w:themeColor="accent1"/>
      <w:sz w:val="32"/>
      <w:szCs w:val="32"/>
    </w:rPr>
  </w:style>
  <w:style w:type="paragraph" w:styleId="Ttulo2">
    <w:name w:val="heading 2"/>
    <w:basedOn w:val="Normal"/>
    <w:next w:val="Corpodetexto"/>
    <w:uiPriority w:val="9"/>
    <w:unhideWhenUsed/>
    <w:qFormat/>
    <w:pPr>
      <w:keepNext/>
      <w:keepLines/>
      <w:spacing w:before="240" w:after="80" w:line="264" w:lineRule="auto"/>
      <w:outlineLvl w:val="1"/>
    </w:pPr>
    <w:rPr>
      <w:b/>
      <w:bCs/>
      <w:color w:val="4F81BD" w:themeColor="accent1"/>
      <w:sz w:val="28"/>
      <w:szCs w:val="28"/>
    </w:rPr>
  </w:style>
  <w:style w:type="paragraph" w:styleId="Ttulo3">
    <w:name w:val="heading 3"/>
    <w:basedOn w:val="Normal"/>
    <w:next w:val="Corpodetexto"/>
    <w:uiPriority w:val="9"/>
    <w:unhideWhenUsed/>
    <w:qFormat/>
    <w:pPr>
      <w:keepNext/>
      <w:keepLines/>
      <w:spacing w:before="200"/>
      <w:outlineLvl w:val="2"/>
    </w:pPr>
    <w:rPr>
      <w:b/>
      <w:bCs/>
      <w:color w:val="4F81BD" w:themeColor="accent1"/>
    </w:rPr>
  </w:style>
  <w:style w:type="paragraph" w:styleId="Ttulo4">
    <w:name w:val="heading 4"/>
    <w:basedOn w:val="Normal"/>
    <w:next w:val="Corpodetexto"/>
    <w:uiPriority w:val="9"/>
    <w:unhideWhenUsed/>
    <w:qFormat/>
    <w:pPr>
      <w:keepNext/>
      <w:keepLines/>
      <w:spacing w:before="200"/>
      <w:outlineLvl w:val="3"/>
    </w:pPr>
    <w:rPr>
      <w:bCs/>
      <w:i/>
      <w:color w:val="4F81BD" w:themeColor="accent1"/>
    </w:rPr>
  </w:style>
  <w:style w:type="paragraph" w:styleId="Ttulo5">
    <w:name w:val="heading 5"/>
    <w:basedOn w:val="Normal"/>
    <w:next w:val="Corpodetexto"/>
    <w:uiPriority w:val="9"/>
    <w:unhideWhenUsed/>
    <w:qFormat/>
    <w:pPr>
      <w:keepNext/>
      <w:keepLines/>
      <w:spacing w:before="200"/>
      <w:outlineLvl w:val="4"/>
    </w:pPr>
    <w:rPr>
      <w:iCs/>
      <w:color w:val="4F81BD" w:themeColor="accent1"/>
    </w:rPr>
  </w:style>
  <w:style w:type="paragraph" w:styleId="Ttulo6">
    <w:name w:val="heading 6"/>
    <w:basedOn w:val="Normal"/>
    <w:next w:val="Corpodetexto"/>
    <w:uiPriority w:val="9"/>
    <w:unhideWhenUsed/>
    <w:qFormat/>
    <w:pPr>
      <w:keepNext/>
      <w:keepLines/>
      <w:spacing w:before="200"/>
      <w:outlineLvl w:val="5"/>
    </w:pPr>
    <w:rPr>
      <w:color w:val="4F81BD" w:themeColor="accent1"/>
    </w:rPr>
  </w:style>
  <w:style w:type="paragraph" w:styleId="Ttulo7">
    <w:name w:val="heading 7"/>
    <w:basedOn w:val="Normal"/>
    <w:next w:val="Corpodetexto"/>
    <w:uiPriority w:val="9"/>
    <w:unhideWhenUsed/>
    <w:qFormat/>
    <w:pPr>
      <w:keepNext/>
      <w:keepLines/>
      <w:spacing w:before="200"/>
      <w:outlineLvl w:val="6"/>
    </w:pPr>
    <w:rPr>
      <w:color w:val="4F81BD" w:themeColor="accent1"/>
    </w:rPr>
  </w:style>
  <w:style w:type="paragraph" w:styleId="Ttulo8">
    <w:name w:val="heading 8"/>
    <w:basedOn w:val="Normal"/>
    <w:next w:val="Corpodetexto"/>
    <w:uiPriority w:val="9"/>
    <w:unhideWhenUsed/>
    <w:qFormat/>
    <w:pPr>
      <w:keepNext/>
      <w:keepLines/>
      <w:spacing w:before="200"/>
      <w:outlineLvl w:val="7"/>
    </w:pPr>
    <w:rPr>
      <w:color w:val="4F81BD" w:themeColor="accent1"/>
    </w:rPr>
  </w:style>
  <w:style w:type="paragraph" w:styleId="Ttulo9">
    <w:name w:val="heading 9"/>
    <w:basedOn w:val="Normal"/>
    <w:next w:val="Corpodetexto"/>
    <w:uiPriority w:val="9"/>
    <w:unhideWhenUsed/>
    <w:qFormat/>
    <w:pPr>
      <w:keepNext/>
      <w:keepLines/>
      <w:spacing w:before="200"/>
      <w:outlineLvl w:val="8"/>
    </w:pPr>
    <w:rPr>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qFormat/>
    <w:pPr>
      <w:spacing w:after="120" w:line="264" w:lineRule="auto"/>
      <w:jc w:val="both"/>
    </w:pPr>
  </w:style>
  <w:style w:type="paragraph" w:customStyle="1" w:styleId="FirstParagraph">
    <w:name w:val="First Paragraph"/>
    <w:basedOn w:val="Corpodetexto"/>
    <w:next w:val="Corpodetexto"/>
    <w:qFormat/>
  </w:style>
  <w:style w:type="paragraph" w:customStyle="1" w:styleId="Compact">
    <w:name w:val="Compact"/>
    <w:basedOn w:val="Corpodetexto"/>
    <w:qFormat/>
    <w:pPr>
      <w:spacing w:after="40"/>
    </w:pPr>
  </w:style>
  <w:style w:type="paragraph" w:styleId="Ttulo">
    <w:name w:val="Title"/>
    <w:basedOn w:val="Normal"/>
    <w:next w:val="Corpodetexto"/>
    <w:qFormat/>
    <w:pPr>
      <w:keepNext/>
      <w:keepLines/>
      <w:spacing w:before="480" w:after="240"/>
      <w:jc w:val="center"/>
    </w:pPr>
    <w:rPr>
      <w:b/>
      <w:bCs/>
      <w:color w:val="345A8A" w:themeColor="accent1" w:themeShade="B5"/>
      <w:sz w:val="36"/>
      <w:szCs w:val="36"/>
    </w:rPr>
  </w:style>
  <w:style w:type="paragraph" w:styleId="Subttulo">
    <w:name w:val="Subtitle"/>
    <w:basedOn w:val="Ttulo"/>
    <w:next w:val="Corpodetexto"/>
    <w:qFormat/>
    <w:pPr>
      <w:spacing w:before="240"/>
    </w:pPr>
    <w:rPr>
      <w:sz w:val="30"/>
      <w:szCs w:val="30"/>
    </w:rPr>
  </w:style>
  <w:style w:type="paragraph" w:customStyle="1" w:styleId="Author">
    <w:name w:val="Author"/>
    <w:next w:val="Corpodetexto"/>
    <w:qFormat/>
    <w:pPr>
      <w:keepNext/>
      <w:keepLines/>
      <w:jc w:val="center"/>
    </w:pPr>
  </w:style>
  <w:style w:type="paragraph" w:styleId="Data">
    <w:name w:val="Date"/>
    <w:next w:val="Corpodetexto"/>
    <w:qFormat/>
    <w:pPr>
      <w:keepNext/>
      <w:keepLines/>
      <w:jc w:val="center"/>
    </w:pPr>
  </w:style>
  <w:style w:type="paragraph" w:customStyle="1" w:styleId="AbstractTitle">
    <w:name w:val="Abstract Title"/>
    <w:basedOn w:val="Normal"/>
    <w:next w:val="Abstract"/>
    <w:qFormat/>
    <w:pPr>
      <w:keepNext/>
      <w:keepLines/>
      <w:spacing w:before="300"/>
      <w:jc w:val="center"/>
    </w:pPr>
    <w:rPr>
      <w:b/>
      <w:color w:val="345A8A"/>
      <w:sz w:val="20"/>
      <w:szCs w:val="20"/>
    </w:rPr>
  </w:style>
  <w:style w:type="paragraph" w:customStyle="1" w:styleId="Abstract">
    <w:name w:val="Abstract"/>
    <w:basedOn w:val="Normal"/>
    <w:next w:val="Corpodetexto"/>
    <w:qFormat/>
    <w:pPr>
      <w:keepNext/>
      <w:keepLines/>
      <w:spacing w:before="100" w:after="300"/>
    </w:pPr>
    <w:rPr>
      <w:sz w:val="20"/>
      <w:szCs w:val="20"/>
    </w:rPr>
  </w:style>
  <w:style w:type="paragraph" w:styleId="Bibliografia">
    <w:name w:val="Bibliography"/>
    <w:basedOn w:val="Normal"/>
    <w:qFormat/>
  </w:style>
  <w:style w:type="paragraph" w:styleId="Textoembloco">
    <w:name w:val="Block Text"/>
    <w:basedOn w:val="Corpodetexto"/>
    <w:next w:val="Corpodetexto"/>
    <w:uiPriority w:val="9"/>
    <w:unhideWhenUsed/>
    <w:qFormat/>
    <w:pPr>
      <w:spacing w:before="80" w:after="80" w:line="240" w:lineRule="auto"/>
      <w:ind w:left="454" w:right="284"/>
    </w:pPr>
  </w:style>
  <w:style w:type="paragraph" w:styleId="Textodenotaderodap">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pPr>
    <w:rPr>
      <w:b/>
    </w:rPr>
  </w:style>
  <w:style w:type="paragraph" w:customStyle="1" w:styleId="Definition">
    <w:name w:val="Definition"/>
    <w:basedOn w:val="Normal"/>
  </w:style>
  <w:style w:type="paragraph" w:styleId="Legenda">
    <w:name w:val="caption"/>
    <w:basedOn w:val="Normal"/>
    <w:link w:val="LegendaChar"/>
    <w:pPr>
      <w:spacing w:after="120"/>
    </w:pPr>
    <w:rPr>
      <w:i/>
    </w:rPr>
  </w:style>
  <w:style w:type="paragraph" w:customStyle="1" w:styleId="TableCaption">
    <w:name w:val="Table Caption"/>
    <w:basedOn w:val="Legenda"/>
    <w:pPr>
      <w:keepNext/>
    </w:pPr>
  </w:style>
  <w:style w:type="paragraph" w:customStyle="1" w:styleId="ImageCaption">
    <w:name w:val="Image Caption"/>
    <w:basedOn w:val="Legenda"/>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egendaChar">
    <w:name w:val="Legenda Char"/>
    <w:basedOn w:val="Fontepargpadro"/>
    <w:link w:val="Legenda"/>
  </w:style>
  <w:style w:type="character" w:customStyle="1" w:styleId="VerbatimChar">
    <w:name w:val="Verbatim Char"/>
    <w:basedOn w:val="LegendaChar"/>
    <w:link w:val="SourceCode"/>
    <w:rPr>
      <w:rFonts w:ascii="Consolas" w:hAnsi="Consolas"/>
      <w:sz w:val="22"/>
    </w:rPr>
  </w:style>
  <w:style w:type="character" w:customStyle="1" w:styleId="SectionNumber">
    <w:name w:val="Section Number"/>
    <w:basedOn w:val="LegendaChar"/>
  </w:style>
  <w:style w:type="character" w:styleId="Refdenotaderodap">
    <w:name w:val="footnote reference"/>
    <w:basedOn w:val="LegendaChar"/>
    <w:rPr>
      <w:vertAlign w:val="superscript"/>
    </w:rPr>
  </w:style>
  <w:style w:type="character" w:styleId="Hyperlink">
    <w:name w:val="Hyperlink"/>
    <w:basedOn w:val="LegendaChar"/>
    <w:rPr>
      <w:color w:val="4F81BD" w:themeColor="accent1"/>
    </w:rPr>
  </w:style>
  <w:style w:type="paragraph" w:styleId="CabealhodoSumrio">
    <w:name w:val="TOC Heading"/>
    <w:basedOn w:val="Ttulo1"/>
    <w:next w:val="Corpodetexto"/>
    <w:uiPriority w:val="39"/>
    <w:unhideWhenUsed/>
    <w:qFormat/>
    <w:pPr>
      <w:spacing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Cabealho">
    <w:name w:val="header"/>
    <w:basedOn w:val="Normal"/>
    <w:link w:val="CabealhoChar"/>
    <w:uiPriority w:val="99"/>
    <w:rsid w:val="00563E69"/>
    <w:pPr>
      <w:tabs>
        <w:tab w:val="center" w:pos="4252"/>
        <w:tab w:val="right" w:pos="8504"/>
      </w:tabs>
    </w:pPr>
  </w:style>
  <w:style w:type="character" w:customStyle="1" w:styleId="CabealhoChar">
    <w:name w:val="Cabeçalho Char"/>
    <w:basedOn w:val="Fontepargpadro"/>
    <w:link w:val="Cabealho"/>
    <w:uiPriority w:val="99"/>
    <w:rsid w:val="00563E69"/>
  </w:style>
  <w:style w:type="paragraph" w:styleId="Rodap">
    <w:name w:val="footer"/>
    <w:basedOn w:val="Normal"/>
    <w:link w:val="RodapChar"/>
    <w:uiPriority w:val="99"/>
    <w:rsid w:val="00563E69"/>
    <w:pPr>
      <w:tabs>
        <w:tab w:val="center" w:pos="4252"/>
        <w:tab w:val="right" w:pos="8504"/>
      </w:tabs>
    </w:pPr>
  </w:style>
  <w:style w:type="character" w:customStyle="1" w:styleId="RodapChar">
    <w:name w:val="Rodapé Char"/>
    <w:basedOn w:val="Fontepargpadro"/>
    <w:link w:val="Rodap"/>
    <w:uiPriority w:val="99"/>
    <w:rsid w:val="00563E69"/>
  </w:style>
  <w:style w:type="paragraph" w:styleId="PargrafodaLista">
    <w:name w:val="List Paragraph"/>
    <w:basedOn w:val="Normal"/>
    <w:rsid w:val="00C80B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tropoles.com/distrito-federal/nao-vamos-dar-dinheiro-ao-brb-diz-lula-durante-ato-do-pt-em-ceilandia"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IUD4YOWJNYU&amp;t=66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1.globo.com/df/distrito-federal/eleicoes/2026/noticia/2026/09/16/nao-vamos-deixar-o-povo-sem-dinheiro-mas-nao-vamos-dar-dinheiro-para-o-brb-diz-lula-em-evento-de-campanha.ghtml"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7386D81-21C3-45A1-954A-D9D0D8D998BD}">
  <we:reference id="wa200010725" version="1.0.0.1" store="en-US" storeType="OMEX"/>
  <we:alternateReferences>
    <we:reference id="WA200010725" version="1.0.0.1" store="" storeType="OMEX"/>
  </we:alternateReferences>
  <we:properties>
    <we:property name="claude.fileId" value="&quot;b3636638-d853-4441-9980-6a2601c22348&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93573-AC02-4317-BA09-BCCB87C05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1588</Words>
  <Characters>8578</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ACO 3.770/DF. Comunicação de fato superveniente e reiteração da tutela provisória</vt:lpstr>
    </vt:vector>
  </TitlesOfParts>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ACO 3.770/DF. Comunicação de fato superveniente e reiteração da tutela provisória</dc:title>
  <dc:creator>Marcos Cavalcanti</dc:creator>
  <cp:keywords/>
  <cp:lastModifiedBy>Marcos Cavalcanti</cp:lastModifiedBy>
  <cp:revision>2</cp:revision>
  <dcterms:created xsi:type="dcterms:W3CDTF">2026-09-17T14:00:00Z</dcterms:created>
  <dcterms:modified xsi:type="dcterms:W3CDTF">2026-09-17T14:00:00Z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17 de setembro de 2026</vt:lpwstr>
  </property>
  <property fmtid="{D5CDD505-2E9C-101B-9397-08002B2CF9AE}" pid="3" name="subtitle">
    <vt:lpwstr>Petição intermediária na ACO 3.770/DF. Fato superveniente e reiteração da tutela provisória</vt:lpwstr>
  </property>
</Properties>
</file>